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06B39F64" w14:textId="77777777" w:rsidTr="00467E6D">
        <w:trPr>
          <w:trHeight w:val="686"/>
        </w:trPr>
        <w:tc>
          <w:tcPr>
            <w:tcW w:w="5210" w:type="dxa"/>
          </w:tcPr>
          <w:p w14:paraId="6D084158" w14:textId="77777777" w:rsidR="0026577E" w:rsidRPr="008504FB" w:rsidRDefault="0026577E" w:rsidP="00467E6D">
            <w:pPr>
              <w:rPr>
                <w:highlight w:val="green"/>
              </w:rPr>
            </w:pPr>
          </w:p>
        </w:tc>
        <w:tc>
          <w:tcPr>
            <w:tcW w:w="4997" w:type="dxa"/>
          </w:tcPr>
          <w:p w14:paraId="70BFBC9C" w14:textId="77777777" w:rsidR="0026577E" w:rsidRPr="008504FB" w:rsidRDefault="0026577E" w:rsidP="00467E6D">
            <w:pPr>
              <w:rPr>
                <w:highlight w:val="green"/>
              </w:rPr>
            </w:pPr>
          </w:p>
        </w:tc>
      </w:tr>
      <w:tr w:rsidR="0026577E" w:rsidRPr="008504FB" w14:paraId="1129144E" w14:textId="77777777" w:rsidTr="00467E6D">
        <w:trPr>
          <w:trHeight w:val="1986"/>
        </w:trPr>
        <w:tc>
          <w:tcPr>
            <w:tcW w:w="10207" w:type="dxa"/>
            <w:gridSpan w:val="2"/>
          </w:tcPr>
          <w:p w14:paraId="33F67667" w14:textId="76669482" w:rsidR="0026577E" w:rsidRPr="008504FB" w:rsidRDefault="0026577E" w:rsidP="00AB2A53">
            <w:pPr>
              <w:spacing w:before="480" w:after="1800"/>
              <w:jc w:val="center"/>
              <w:rPr>
                <w:rFonts w:eastAsia="Arial"/>
                <w:b/>
                <w:sz w:val="32"/>
                <w:szCs w:val="28"/>
              </w:rPr>
            </w:pPr>
            <w:r w:rsidRPr="008504FB">
              <w:rPr>
                <w:rFonts w:eastAsia="Arial"/>
                <w:b/>
                <w:sz w:val="32"/>
                <w:szCs w:val="28"/>
              </w:rPr>
              <w:t>RÈGLEMENT DE LA CONSULTATION</w:t>
            </w:r>
          </w:p>
        </w:tc>
      </w:tr>
      <w:tr w:rsidR="0026577E" w:rsidRPr="008504FB" w14:paraId="2285969E" w14:textId="77777777" w:rsidTr="00467E6D">
        <w:trPr>
          <w:trHeight w:val="3389"/>
        </w:trPr>
        <w:tc>
          <w:tcPr>
            <w:tcW w:w="10207" w:type="dxa"/>
            <w:gridSpan w:val="2"/>
          </w:tcPr>
          <w:p w14:paraId="6FFCA15E" w14:textId="42CE1A12" w:rsidR="0026577E" w:rsidRPr="008504FB" w:rsidRDefault="0026577E" w:rsidP="00AB2A53">
            <w:pPr>
              <w:spacing w:before="600"/>
              <w:jc w:val="center"/>
              <w:rPr>
                <w:rFonts w:eastAsia="Arial"/>
                <w:b/>
                <w:szCs w:val="22"/>
              </w:rPr>
            </w:pPr>
            <w:r w:rsidRPr="008504FB">
              <w:rPr>
                <w:rFonts w:eastAsia="Arial"/>
                <w:b/>
                <w:szCs w:val="22"/>
              </w:rPr>
              <w:t xml:space="preserve">OBJET : </w:t>
            </w:r>
            <w:sdt>
              <w:sdtPr>
                <w:rPr>
                  <w:rFonts w:eastAsia="Arial"/>
                  <w:b/>
                  <w:szCs w:val="22"/>
                </w:rPr>
                <w:id w:val="1670903615"/>
                <w:placeholder>
                  <w:docPart w:val="DD485EB63A7541CA8010B29C339F0D14"/>
                </w:placeholder>
              </w:sdtPr>
              <w:sdtEndPr/>
              <w:sdtContent>
                <w:r w:rsidR="00CE42C8" w:rsidRPr="005614E4">
                  <w:rPr>
                    <w:rFonts w:eastAsia="Calibri"/>
                    <w:sz w:val="32"/>
                  </w:rPr>
                  <w:t>Assistance à maîtrise d’ouvrage</w:t>
                </w:r>
                <w:r w:rsidR="00CE42C8">
                  <w:rPr>
                    <w:rFonts w:eastAsia="Calibri"/>
                    <w:sz w:val="32"/>
                  </w:rPr>
                  <w:t xml:space="preserve"> (AMO)</w:t>
                </w:r>
                <w:r w:rsidR="00CE42C8" w:rsidRPr="005614E4">
                  <w:rPr>
                    <w:rFonts w:eastAsia="Calibri"/>
                    <w:sz w:val="32"/>
                  </w:rPr>
                  <w:t xml:space="preserve"> pour la rédaction du cahier des charges du projet de renouvellement Billetterie et Contrôle d’accès à la Bibliothèque nationale de France</w:t>
                </w:r>
              </w:sdtContent>
            </w:sdt>
          </w:p>
          <w:p w14:paraId="49C7735B" w14:textId="77777777" w:rsidR="0026577E" w:rsidRPr="008504FB" w:rsidRDefault="0026577E" w:rsidP="00467E6D">
            <w:pPr>
              <w:jc w:val="center"/>
              <w:rPr>
                <w:rFonts w:eastAsia="Arial"/>
                <w:b/>
                <w:sz w:val="32"/>
                <w:szCs w:val="28"/>
              </w:rPr>
            </w:pPr>
          </w:p>
          <w:p w14:paraId="03A14C98" w14:textId="77777777" w:rsidR="0026577E" w:rsidRPr="008504FB" w:rsidRDefault="0026577E" w:rsidP="00AB2A53">
            <w:pPr>
              <w:spacing w:before="1920"/>
              <w:jc w:val="right"/>
              <w:rPr>
                <w:b/>
              </w:rPr>
            </w:pPr>
            <w:r w:rsidRPr="008504FB">
              <w:rPr>
                <w:b/>
              </w:rPr>
              <w:t xml:space="preserve">Dépôt électronique obligatoire </w:t>
            </w:r>
          </w:p>
          <w:p w14:paraId="5E041139" w14:textId="77777777" w:rsidR="0026577E" w:rsidRPr="00BE7632" w:rsidRDefault="0026577E" w:rsidP="00467E6D">
            <w:pPr>
              <w:jc w:val="right"/>
              <w:rPr>
                <w:rFonts w:eastAsia="Arial"/>
                <w:b/>
              </w:rPr>
            </w:pPr>
            <w:r w:rsidRPr="00BE7632">
              <w:rPr>
                <w:rFonts w:eastAsia="Arial"/>
                <w:b/>
              </w:rPr>
              <w:t xml:space="preserve">Date limite de réception des offres : </w:t>
            </w:r>
          </w:p>
          <w:p w14:paraId="5D15A5C6" w14:textId="0E89221D" w:rsidR="0026577E" w:rsidRPr="008504FB" w:rsidRDefault="00BE7632" w:rsidP="00467E6D">
            <w:pPr>
              <w:jc w:val="right"/>
              <w:rPr>
                <w:rFonts w:eastAsia="Arial"/>
                <w:b/>
                <w:sz w:val="32"/>
                <w:szCs w:val="28"/>
              </w:rPr>
            </w:pPr>
            <w:sdt>
              <w:sdtPr>
                <w:rPr>
                  <w:rFonts w:eastAsia="Arial"/>
                  <w:b/>
                </w:rPr>
                <w:id w:val="929619073"/>
                <w:placeholder>
                  <w:docPart w:val="59DC02D23AA74A6A9B617EEBE93B577F"/>
                </w:placeholder>
                <w:date w:fullDate="2026-01-28T00:00:00Z">
                  <w:dateFormat w:val="dddd d MMMM yyyy"/>
                  <w:lid w:val="fr-FR"/>
                  <w:storeMappedDataAs w:val="dateTime"/>
                  <w:calendar w:val="gregorian"/>
                </w:date>
              </w:sdtPr>
              <w:sdtEndPr/>
              <w:sdtContent>
                <w:proofErr w:type="gramStart"/>
                <w:r w:rsidRPr="00BE7632">
                  <w:rPr>
                    <w:rFonts w:eastAsia="Arial"/>
                    <w:b/>
                  </w:rPr>
                  <w:t>mercredi</w:t>
                </w:r>
                <w:proofErr w:type="gramEnd"/>
                <w:r w:rsidRPr="00BE7632">
                  <w:rPr>
                    <w:rFonts w:eastAsia="Arial"/>
                    <w:b/>
                  </w:rPr>
                  <w:t xml:space="preserve"> 28 janvier 2026</w:t>
                </w:r>
              </w:sdtContent>
            </w:sdt>
            <w:r w:rsidR="0026577E" w:rsidRPr="00BE7632">
              <w:rPr>
                <w:rFonts w:eastAsia="Arial"/>
                <w:b/>
              </w:rPr>
              <w:t xml:space="preserve"> à 1</w:t>
            </w:r>
            <w:r w:rsidRPr="00BE7632">
              <w:rPr>
                <w:rFonts w:eastAsia="Arial"/>
                <w:b/>
              </w:rPr>
              <w:t>3h3</w:t>
            </w:r>
            <w:r w:rsidR="0026577E" w:rsidRPr="00BE7632">
              <w:rPr>
                <w:rFonts w:eastAsia="Arial"/>
                <w:b/>
              </w:rPr>
              <w:t>0</w:t>
            </w:r>
            <w:bookmarkStart w:id="0" w:name="_GoBack"/>
            <w:bookmarkEnd w:id="0"/>
          </w:p>
        </w:tc>
      </w:tr>
    </w:tbl>
    <w:p w14:paraId="79EFDE4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022F0A16"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61A29BC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363ED419" w14:textId="0B16CAF1" w:rsidR="0026577E" w:rsidRPr="008504FB" w:rsidRDefault="0026577E" w:rsidP="0026577E">
      <w:r w:rsidRPr="008504FB">
        <w:t xml:space="preserve">La présente </w:t>
      </w:r>
      <w:r w:rsidRPr="000502DF">
        <w:t xml:space="preserve">procédure a pour objet </w:t>
      </w:r>
      <w:r w:rsidR="00866E9B" w:rsidRPr="000502DF">
        <w:t>une mission d’assistance à maîtrise d’ouvrage pour la rédaction d’un cahier des charges en vue de la sélection d’un opérateur chargé du remplacement des systèmes de billetterie et de contrôle d’accès à certains espaces publics.</w:t>
      </w:r>
    </w:p>
    <w:p w14:paraId="235B9368" w14:textId="77777777" w:rsidR="0026577E" w:rsidRPr="008504FB" w:rsidRDefault="0026577E" w:rsidP="0026577E">
      <w:r w:rsidRPr="008504FB">
        <w:t>Le présent règlement de la consultation fixe les modalités de la consultation. Les candidats sont tenus de respecter les règles qui y figurent.</w:t>
      </w:r>
    </w:p>
    <w:p w14:paraId="0B32CBD6"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36C2760F" w14:textId="77777777" w:rsidR="0026577E" w:rsidRPr="008504FB" w:rsidRDefault="0026577E" w:rsidP="0026577E">
      <w:r w:rsidRPr="008504FB">
        <w:t>Le marché est conclu à prix global et forfaitaire.</w:t>
      </w:r>
    </w:p>
    <w:p w14:paraId="3A9D38E3"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3C9C3A20"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06EB969" w14:textId="77777777" w:rsidR="0026577E" w:rsidRPr="008504FB" w:rsidRDefault="0026577E" w:rsidP="0026577E">
      <w:r w:rsidRPr="008504FB">
        <w:t>Les variantes ne sont pas autorisées.</w:t>
      </w:r>
    </w:p>
    <w:p w14:paraId="20A226E3"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07BA832C" w14:textId="77777777" w:rsidR="0026577E" w:rsidRPr="008504FB" w:rsidRDefault="0026577E" w:rsidP="0026577E">
      <w:r w:rsidRPr="008504FB">
        <w:t>Les prestations ne sont pas décomposées en tranches.</w:t>
      </w:r>
    </w:p>
    <w:p w14:paraId="436D45BB"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6593018A" w14:textId="77777777" w:rsidR="00073DD4" w:rsidRPr="00073DD4" w:rsidRDefault="0026577E" w:rsidP="0026577E">
      <w:r w:rsidRPr="00073DD4">
        <w:t xml:space="preserve">Les prestations ne sont pas alloties. </w:t>
      </w:r>
    </w:p>
    <w:p w14:paraId="57D03F21" w14:textId="2353EC0A" w:rsidR="00EB51A1" w:rsidRPr="00073DD4" w:rsidRDefault="00D34ECA" w:rsidP="0026577E">
      <w:pPr>
        <w:rPr>
          <w:highlight w:val="yellow"/>
        </w:rPr>
      </w:pPr>
      <w:r w:rsidRPr="00073DD4">
        <w:t>Au vu de la nature des prestations, il n’y a pas lieu de les allotir.</w:t>
      </w:r>
    </w:p>
    <w:p w14:paraId="6B12A84E"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45CFB7F0"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483B8625" w14:textId="77777777" w:rsidR="00D34ECA" w:rsidRDefault="00D34ECA" w:rsidP="00D34ECA">
      <w:bookmarkStart w:id="1" w:name="_Hlk214283423"/>
      <w:r w:rsidRPr="00765C65">
        <w:t xml:space="preserve">Le marché est d’une durée allant de sa date de notification </w:t>
      </w:r>
      <w:r>
        <w:t>jusqu’à l’admission des prestations</w:t>
      </w:r>
      <w:bookmarkEnd w:id="1"/>
      <w:r>
        <w:t xml:space="preserve"> de la dernière phase.</w:t>
      </w:r>
    </w:p>
    <w:p w14:paraId="6FEFE3F8" w14:textId="16828DF7" w:rsidR="007671B4" w:rsidRDefault="007671B4" w:rsidP="007671B4">
      <w:pPr>
        <w:pStyle w:val="Titre2"/>
        <w:rPr>
          <w:rFonts w:ascii="Times New Roman" w:hAnsi="Times New Roman"/>
        </w:rPr>
      </w:pPr>
      <w:r w:rsidRPr="007671B4">
        <w:rPr>
          <w:rFonts w:ascii="Times New Roman" w:hAnsi="Times New Roman"/>
        </w:rPr>
        <w:t xml:space="preserve">Délai d’exécution </w:t>
      </w:r>
    </w:p>
    <w:p w14:paraId="298D02DD" w14:textId="3B0406E5" w:rsidR="00D34ECA" w:rsidRPr="00D34ECA" w:rsidRDefault="00D34ECA" w:rsidP="00D34ECA">
      <w:r>
        <w:t xml:space="preserve">Le délai d’exécution de chacune des phases est </w:t>
      </w:r>
      <w:r w:rsidRPr="00073DD4">
        <w:t>indiqué à l’article 6 du CCP.</w:t>
      </w:r>
    </w:p>
    <w:p w14:paraId="46AF12B0"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56CC4C0"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78C4D948" w14:textId="77777777" w:rsidR="0026577E" w:rsidRPr="008504FB" w:rsidRDefault="0026577E" w:rsidP="0026577E">
      <w:r w:rsidRPr="008504FB">
        <w:t xml:space="preserve">La présente consultation est passée sous la forme d’une procédure adaptée, en application des articles L. 2123-1 et R. 2123-1 du Code de la commande publique. </w:t>
      </w:r>
    </w:p>
    <w:p w14:paraId="2D9932C1"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693CE3BD"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5FF9C165" w14:textId="31B2DB8F" w:rsidR="0026577E" w:rsidRPr="008504FB" w:rsidRDefault="0026577E" w:rsidP="0026577E">
      <w:pPr>
        <w:rPr>
          <w:color w:val="FF0000"/>
        </w:rPr>
      </w:pPr>
      <w:r w:rsidRPr="008504FB">
        <w:t xml:space="preserve">L’un des membres du groupement devra être désigné comme mandataire du groupement. </w:t>
      </w:r>
      <w:r w:rsidRPr="008504FB">
        <w:rPr>
          <w:color w:val="FF0000"/>
        </w:rPr>
        <w:t>[</w:t>
      </w:r>
    </w:p>
    <w:p w14:paraId="0B7D2393"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ACA76BF" w14:textId="77777777" w:rsidR="007671B4" w:rsidRDefault="0026577E" w:rsidP="007671B4">
      <w:pPr>
        <w:pStyle w:val="Paragraphedeliste"/>
        <w:numPr>
          <w:ilvl w:val="0"/>
          <w:numId w:val="21"/>
        </w:numPr>
      </w:pPr>
      <w:r w:rsidRPr="008504FB">
        <w:lastRenderedPageBreak/>
        <w:t xml:space="preserve">Un même opérateur économique ne peut être mandataire de plusieurs </w:t>
      </w:r>
      <w:r w:rsidR="007671B4">
        <w:t>groupements.</w:t>
      </w:r>
    </w:p>
    <w:p w14:paraId="243A6E02"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03EC9A2E"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26E37D73" w14:textId="77777777" w:rsidR="0026577E" w:rsidRPr="008504FB" w:rsidRDefault="0026577E" w:rsidP="0026577E">
      <w:r w:rsidRPr="008504FB">
        <w:t>Le pouvoir adjudicateur responsable de l'organisation de la procédure est :</w:t>
      </w:r>
    </w:p>
    <w:p w14:paraId="00507B19" w14:textId="77777777" w:rsidR="0026577E" w:rsidRPr="008504FB" w:rsidRDefault="0026577E" w:rsidP="00AB2A53">
      <w:pPr>
        <w:spacing w:before="0" w:after="0"/>
        <w:jc w:val="center"/>
      </w:pPr>
      <w:r w:rsidRPr="008504FB">
        <w:t>La Bibliothèque nationale de France (BnF)</w:t>
      </w:r>
    </w:p>
    <w:p w14:paraId="2A8F2B2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51772C11" w14:textId="77777777" w:rsidR="0026577E" w:rsidRPr="008504FB" w:rsidRDefault="0026577E" w:rsidP="00AB2A53">
      <w:pPr>
        <w:spacing w:before="0" w:after="0"/>
        <w:jc w:val="center"/>
      </w:pPr>
      <w:r w:rsidRPr="008504FB">
        <w:t>75706 PARIS Cedex 13</w:t>
      </w:r>
    </w:p>
    <w:p w14:paraId="63E2798A" w14:textId="77777777" w:rsidR="0026577E" w:rsidRPr="008504FB" w:rsidRDefault="0026577E" w:rsidP="00AB2A53">
      <w:pPr>
        <w:spacing w:before="0" w:after="0"/>
        <w:jc w:val="center"/>
        <w:rPr>
          <w:b/>
        </w:rPr>
      </w:pPr>
      <w:r w:rsidRPr="008504FB">
        <w:t>Téléphone. : 01.53.79.42.37</w:t>
      </w:r>
    </w:p>
    <w:p w14:paraId="025D9C85"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5C4A57AE" w14:textId="77777777" w:rsidR="0026577E" w:rsidRPr="00073DD4" w:rsidRDefault="0026577E" w:rsidP="0026577E">
      <w:r w:rsidRPr="008504FB">
        <w:t xml:space="preserve">Le délai de validité des offres est fixé à cinq (5) mois à compter de la date limite de remise des </w:t>
      </w:r>
      <w:r w:rsidRPr="00073DD4">
        <w:t>propositions, négociées le cas échéant.</w:t>
      </w:r>
      <w:r w:rsidR="00467E6D" w:rsidRPr="00073DD4">
        <w:t xml:space="preserve"> </w:t>
      </w:r>
    </w:p>
    <w:p w14:paraId="2B12A55A" w14:textId="77777777" w:rsidR="00DD629B" w:rsidRPr="00073DD4" w:rsidRDefault="00DD629B" w:rsidP="00DD629B">
      <w:pPr>
        <w:pStyle w:val="Titre2"/>
        <w:rPr>
          <w:rFonts w:ascii="Times New Roman" w:hAnsi="Times New Roman"/>
        </w:rPr>
      </w:pPr>
      <w:r w:rsidRPr="00073DD4">
        <w:rPr>
          <w:rFonts w:ascii="Times New Roman" w:hAnsi="Times New Roman"/>
        </w:rPr>
        <w:t>Code CPV</w:t>
      </w:r>
    </w:p>
    <w:p w14:paraId="09842BA1" w14:textId="40A9C620" w:rsidR="00F716F0" w:rsidRPr="00073DD4" w:rsidRDefault="00857637" w:rsidP="0026577E">
      <w:r w:rsidRPr="00073DD4">
        <w:t>Le code CPV de la consultation est le :</w:t>
      </w:r>
    </w:p>
    <w:p w14:paraId="4C228FF1" w14:textId="0E9721A4" w:rsidR="00857637" w:rsidRDefault="00857637" w:rsidP="0026577E">
      <w:r>
        <w:t>-</w:t>
      </w:r>
      <w:r w:rsidRPr="00471910">
        <w:rPr>
          <w:rFonts w:cs="Times New Roman"/>
          <w:szCs w:val="22"/>
        </w:rPr>
        <w:t>72200000-</w:t>
      </w:r>
      <w:proofErr w:type="gramStart"/>
      <w:r w:rsidRPr="00471910">
        <w:rPr>
          <w:rFonts w:cs="Times New Roman"/>
          <w:szCs w:val="22"/>
        </w:rPr>
        <w:t>7</w:t>
      </w:r>
      <w:r>
        <w:rPr>
          <w:rFonts w:cs="Times New Roman"/>
          <w:szCs w:val="22"/>
        </w:rPr>
        <w:t xml:space="preserve">  </w:t>
      </w:r>
      <w:r w:rsidRPr="00471910">
        <w:rPr>
          <w:rFonts w:cs="Times New Roman"/>
          <w:szCs w:val="22"/>
        </w:rPr>
        <w:t>Services</w:t>
      </w:r>
      <w:proofErr w:type="gramEnd"/>
      <w:r w:rsidRPr="00471910">
        <w:rPr>
          <w:rFonts w:cs="Times New Roman"/>
          <w:szCs w:val="22"/>
        </w:rPr>
        <w:t xml:space="preserve"> de programmation et de conseil en logiciels</w:t>
      </w:r>
    </w:p>
    <w:p w14:paraId="2E8A8792"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7FBBD7"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2655EBBE" w14:textId="77777777" w:rsidR="0025733D" w:rsidRDefault="0025733D" w:rsidP="0025733D">
      <w:r>
        <w:t xml:space="preserve">L’ensemble du dossier permettant de répondre à la présente consultation est téléchargeable gratuitement par chaque candidat. </w:t>
      </w:r>
    </w:p>
    <w:p w14:paraId="49419A2F"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4C4E5D2"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40B1A6F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7A5E5CE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111F7665" w14:textId="56F24554"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275A8AEE" w14:textId="5790893A" w:rsidR="00857637" w:rsidRDefault="00857637" w:rsidP="0025733D"/>
    <w:p w14:paraId="5EED5BD2" w14:textId="52E87AC1" w:rsidR="00857637" w:rsidRDefault="00857637" w:rsidP="0025733D"/>
    <w:p w14:paraId="3BBA146E" w14:textId="6CAEA363" w:rsidR="00857637" w:rsidRDefault="00857637" w:rsidP="0025733D"/>
    <w:p w14:paraId="02BF0E98" w14:textId="769F99FC" w:rsidR="00857637" w:rsidRDefault="00857637" w:rsidP="0025733D"/>
    <w:p w14:paraId="63E33E4D" w14:textId="1FD9F427" w:rsidR="00857637" w:rsidRDefault="00857637" w:rsidP="0025733D"/>
    <w:p w14:paraId="07785064" w14:textId="77777777" w:rsidR="00857637" w:rsidRDefault="00857637" w:rsidP="0025733D"/>
    <w:p w14:paraId="7F0DBE0E" w14:textId="77777777" w:rsidR="0025733D" w:rsidRPr="008504FB" w:rsidRDefault="0025733D" w:rsidP="0025733D">
      <w:pPr>
        <w:pStyle w:val="Titre2"/>
        <w:rPr>
          <w:rFonts w:ascii="Times New Roman" w:hAnsi="Times New Roman"/>
        </w:rPr>
      </w:pPr>
      <w:r w:rsidRPr="008504FB">
        <w:rPr>
          <w:rFonts w:ascii="Times New Roman" w:hAnsi="Times New Roman"/>
        </w:rPr>
        <w:lastRenderedPageBreak/>
        <w:t>CONTENU DU DOSSIER DE CONSULTATION DES ENTREPRISES</w:t>
      </w:r>
    </w:p>
    <w:p w14:paraId="4D411639" w14:textId="77777777" w:rsidR="0025733D" w:rsidRPr="008504FB" w:rsidRDefault="0025733D" w:rsidP="0025733D">
      <w:r w:rsidRPr="008504FB">
        <w:t>Le dossier de consultation des entreprises comprend les pièces suivantes :</w:t>
      </w:r>
    </w:p>
    <w:p w14:paraId="54FE5B5A" w14:textId="6CA33603"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règlement de la consultation (RC</w:t>
      </w:r>
      <w:r w:rsidRPr="005552B0">
        <w:rPr>
          <w:rFonts w:eastAsia="Arimo"/>
        </w:rPr>
        <w:t>) et ses annexes :</w:t>
      </w:r>
    </w:p>
    <w:p w14:paraId="3D0372F2" w14:textId="77777777" w:rsidR="0025733D" w:rsidRPr="005552B0" w:rsidRDefault="0025733D" w:rsidP="0025733D">
      <w:pPr>
        <w:numPr>
          <w:ilvl w:val="1"/>
          <w:numId w:val="10"/>
        </w:numPr>
        <w:pBdr>
          <w:top w:val="nil"/>
          <w:left w:val="nil"/>
          <w:bottom w:val="nil"/>
          <w:right w:val="nil"/>
          <w:between w:val="nil"/>
        </w:pBdr>
      </w:pPr>
      <w:r w:rsidRPr="005552B0">
        <w:rPr>
          <w:rFonts w:eastAsia="Arimo"/>
        </w:rPr>
        <w:t>Annexe 1 : La fiche de synthèse ;</w:t>
      </w:r>
    </w:p>
    <w:p w14:paraId="485D934B" w14:textId="77777777" w:rsidR="0025733D" w:rsidRPr="005552B0" w:rsidRDefault="0025733D" w:rsidP="0025733D">
      <w:pPr>
        <w:numPr>
          <w:ilvl w:val="1"/>
          <w:numId w:val="10"/>
        </w:numPr>
        <w:pBdr>
          <w:top w:val="nil"/>
          <w:left w:val="nil"/>
          <w:bottom w:val="nil"/>
          <w:right w:val="nil"/>
          <w:between w:val="nil"/>
        </w:pBdr>
        <w:rPr>
          <w:rFonts w:eastAsia="Arimo"/>
        </w:rPr>
      </w:pPr>
      <w:r w:rsidRPr="005552B0">
        <w:rPr>
          <w:rFonts w:eastAsia="Arimo"/>
        </w:rPr>
        <w:t>Annexe 2 : Le questionnaire Mixité/Diversité</w:t>
      </w:r>
      <w:r w:rsidR="00C608D5" w:rsidRPr="005552B0">
        <w:rPr>
          <w:rFonts w:eastAsia="Arimo"/>
        </w:rPr>
        <w:t xml:space="preserve"> (cf. article </w:t>
      </w:r>
      <w:r w:rsidR="00D51831" w:rsidRPr="005552B0">
        <w:rPr>
          <w:rFonts w:eastAsia="Arimo"/>
        </w:rPr>
        <w:t>11</w:t>
      </w:r>
      <w:r w:rsidR="00C608D5" w:rsidRPr="005552B0">
        <w:rPr>
          <w:rFonts w:eastAsia="Arimo"/>
        </w:rPr>
        <w:t xml:space="preserve"> du présent document)</w:t>
      </w:r>
    </w:p>
    <w:p w14:paraId="18D85393" w14:textId="7ED48CD2" w:rsidR="0025733D" w:rsidRPr="005552B0" w:rsidRDefault="0025733D" w:rsidP="0025733D">
      <w:pPr>
        <w:numPr>
          <w:ilvl w:val="1"/>
          <w:numId w:val="10"/>
        </w:numPr>
        <w:pBdr>
          <w:top w:val="nil"/>
          <w:left w:val="nil"/>
          <w:bottom w:val="nil"/>
          <w:right w:val="nil"/>
          <w:between w:val="nil"/>
        </w:pBdr>
        <w:rPr>
          <w:rFonts w:eastAsia="Arimo"/>
        </w:rPr>
      </w:pPr>
      <w:r w:rsidRPr="005552B0">
        <w:rPr>
          <w:rFonts w:eastAsia="Arimo"/>
        </w:rPr>
        <w:t xml:space="preserve">Annexe </w:t>
      </w:r>
      <w:r w:rsidR="005552B0" w:rsidRPr="005552B0">
        <w:rPr>
          <w:rFonts w:eastAsia="Arimo"/>
        </w:rPr>
        <w:t>3</w:t>
      </w:r>
      <w:r w:rsidRPr="005552B0">
        <w:rPr>
          <w:rFonts w:eastAsia="Arimo"/>
        </w:rPr>
        <w:t> : Le cadre de mémoire technique ;</w:t>
      </w:r>
    </w:p>
    <w:p w14:paraId="43B05917" w14:textId="77777777" w:rsidR="0025733D" w:rsidRPr="00073878" w:rsidRDefault="0025733D" w:rsidP="0025733D">
      <w:pPr>
        <w:numPr>
          <w:ilvl w:val="0"/>
          <w:numId w:val="10"/>
        </w:numPr>
        <w:pBdr>
          <w:top w:val="nil"/>
          <w:left w:val="nil"/>
          <w:bottom w:val="nil"/>
          <w:right w:val="nil"/>
          <w:between w:val="nil"/>
        </w:pBdr>
      </w:pPr>
      <w:r w:rsidRPr="00073878">
        <w:rPr>
          <w:rFonts w:eastAsia="Arimo"/>
        </w:rPr>
        <w:t xml:space="preserve">Le document unique de marché européen </w:t>
      </w:r>
      <w:r w:rsidRPr="00073878">
        <w:rPr>
          <w:rFonts w:eastAsia="Arimo"/>
          <w:b/>
        </w:rPr>
        <w:t>(DUME – format XML)</w:t>
      </w:r>
      <w:r w:rsidRPr="00073878">
        <w:rPr>
          <w:rFonts w:eastAsia="Arimo"/>
        </w:rPr>
        <w:t> ;</w:t>
      </w:r>
    </w:p>
    <w:p w14:paraId="5F569E45" w14:textId="77777777" w:rsidR="0025733D" w:rsidRPr="00073878" w:rsidRDefault="00FC0EB7" w:rsidP="0025733D">
      <w:pPr>
        <w:numPr>
          <w:ilvl w:val="0"/>
          <w:numId w:val="10"/>
        </w:numPr>
        <w:pBdr>
          <w:top w:val="nil"/>
          <w:left w:val="nil"/>
          <w:bottom w:val="nil"/>
          <w:right w:val="nil"/>
          <w:between w:val="nil"/>
        </w:pBdr>
      </w:pPr>
      <w:r w:rsidRPr="00073878">
        <w:rPr>
          <w:rFonts w:eastAsia="Arimo"/>
        </w:rPr>
        <w:t xml:space="preserve">L’acte d’engagement </w:t>
      </w:r>
      <w:r w:rsidR="0025733D" w:rsidRPr="00073878">
        <w:rPr>
          <w:rFonts w:eastAsia="Arimo"/>
        </w:rPr>
        <w:t>(AE</w:t>
      </w:r>
      <w:r w:rsidRPr="00073878">
        <w:rPr>
          <w:rFonts w:eastAsia="Arimo"/>
        </w:rPr>
        <w:t xml:space="preserve"> – format Word</w:t>
      </w:r>
      <w:r w:rsidR="0025733D" w:rsidRPr="00073878">
        <w:rPr>
          <w:rFonts w:eastAsia="Arimo"/>
        </w:rPr>
        <w:t xml:space="preserve">) et ses annexes : </w:t>
      </w:r>
    </w:p>
    <w:p w14:paraId="146339AC" w14:textId="63037AF8" w:rsidR="0025733D" w:rsidRPr="00073878" w:rsidRDefault="0025733D" w:rsidP="0025733D">
      <w:pPr>
        <w:numPr>
          <w:ilvl w:val="1"/>
          <w:numId w:val="10"/>
        </w:numPr>
        <w:pBdr>
          <w:top w:val="nil"/>
          <w:left w:val="nil"/>
          <w:bottom w:val="nil"/>
          <w:right w:val="nil"/>
          <w:between w:val="nil"/>
        </w:pBdr>
      </w:pPr>
      <w:r w:rsidRPr="00073878">
        <w:rPr>
          <w:rFonts w:eastAsia="Arimo"/>
        </w:rPr>
        <w:t xml:space="preserve">Annexe </w:t>
      </w:r>
      <w:r w:rsidR="00AA28A8" w:rsidRPr="00073878">
        <w:t>1</w:t>
      </w:r>
      <w:r w:rsidRPr="00073878">
        <w:t xml:space="preserve"> </w:t>
      </w:r>
      <w:r w:rsidRPr="00073878">
        <w:rPr>
          <w:rFonts w:eastAsia="Arimo"/>
        </w:rPr>
        <w:t>: La décomposition du prix global et forfaitaire (DPGF – format Excel)</w:t>
      </w:r>
      <w:r w:rsidRPr="00073878">
        <w:t xml:space="preserve"> ;</w:t>
      </w:r>
    </w:p>
    <w:p w14:paraId="3512201B" w14:textId="155D595E" w:rsidR="0025733D" w:rsidRPr="00073878" w:rsidRDefault="0025733D" w:rsidP="0025733D">
      <w:pPr>
        <w:numPr>
          <w:ilvl w:val="0"/>
          <w:numId w:val="10"/>
        </w:numPr>
        <w:pBdr>
          <w:top w:val="nil"/>
          <w:left w:val="nil"/>
          <w:bottom w:val="nil"/>
          <w:right w:val="nil"/>
          <w:between w:val="nil"/>
        </w:pBdr>
      </w:pPr>
      <w:r w:rsidRPr="00073878">
        <w:rPr>
          <w:rFonts w:eastAsia="Arimo"/>
        </w:rPr>
        <w:t>Le cahier des clauses particulières (CC</w:t>
      </w:r>
      <w:r w:rsidR="00AA28A8" w:rsidRPr="00073878">
        <w:rPr>
          <w:rFonts w:eastAsia="Arimo"/>
        </w:rPr>
        <w:t>P</w:t>
      </w:r>
      <w:r w:rsidRPr="00073878">
        <w:rPr>
          <w:rFonts w:eastAsia="Arimo"/>
        </w:rPr>
        <w:t>) </w:t>
      </w:r>
      <w:r w:rsidR="00AA28A8" w:rsidRPr="00073878">
        <w:rPr>
          <w:rFonts w:eastAsia="Arimo"/>
        </w:rPr>
        <w:t xml:space="preserve">et ses annexes </w:t>
      </w:r>
      <w:r w:rsidRPr="00073878">
        <w:rPr>
          <w:rFonts w:eastAsia="Arimo"/>
        </w:rPr>
        <w:t>;</w:t>
      </w:r>
    </w:p>
    <w:p w14:paraId="5DC9127E" w14:textId="2C707D4E" w:rsidR="0025733D" w:rsidRPr="00073878" w:rsidRDefault="0025733D" w:rsidP="0025733D">
      <w:pPr>
        <w:numPr>
          <w:ilvl w:val="1"/>
          <w:numId w:val="10"/>
        </w:numPr>
        <w:pBdr>
          <w:top w:val="nil"/>
          <w:left w:val="nil"/>
          <w:bottom w:val="nil"/>
          <w:right w:val="nil"/>
          <w:between w:val="nil"/>
        </w:pBdr>
      </w:pPr>
      <w:r w:rsidRPr="00073878">
        <w:t>Annexe 1 :</w:t>
      </w:r>
      <w:r w:rsidR="00AA28A8" w:rsidRPr="00073878">
        <w:t xml:space="preserve"> Présentation de la BnF et de ses missions</w:t>
      </w:r>
    </w:p>
    <w:p w14:paraId="70457A19" w14:textId="19559120" w:rsidR="00AA28A8" w:rsidRPr="00073878" w:rsidRDefault="00AA28A8" w:rsidP="00AA28A8">
      <w:pPr>
        <w:numPr>
          <w:ilvl w:val="1"/>
          <w:numId w:val="10"/>
        </w:numPr>
        <w:pBdr>
          <w:top w:val="nil"/>
          <w:left w:val="nil"/>
          <w:bottom w:val="nil"/>
          <w:right w:val="nil"/>
          <w:between w:val="nil"/>
        </w:pBdr>
      </w:pPr>
      <w:r w:rsidRPr="00073878">
        <w:t>Annexe 2 : Présentation du Département des Systèmes d’Information (DSI)</w:t>
      </w:r>
    </w:p>
    <w:p w14:paraId="51DFDC69" w14:textId="7C9239B5" w:rsidR="00AA28A8" w:rsidRPr="00073878" w:rsidRDefault="00AA28A8" w:rsidP="00AA28A8">
      <w:pPr>
        <w:numPr>
          <w:ilvl w:val="1"/>
          <w:numId w:val="10"/>
        </w:numPr>
        <w:pBdr>
          <w:top w:val="nil"/>
          <w:left w:val="nil"/>
          <w:bottom w:val="nil"/>
          <w:right w:val="nil"/>
          <w:between w:val="nil"/>
        </w:pBdr>
      </w:pPr>
      <w:r w:rsidRPr="00073878">
        <w:t>Annexe 3 : Présentation de la Direction des Publics (DPU)</w:t>
      </w:r>
    </w:p>
    <w:p w14:paraId="14177B8B" w14:textId="0E15B143" w:rsidR="00AA28A8" w:rsidRPr="00073878" w:rsidRDefault="00AA28A8" w:rsidP="00AA28A8">
      <w:pPr>
        <w:numPr>
          <w:ilvl w:val="1"/>
          <w:numId w:val="10"/>
        </w:numPr>
        <w:pBdr>
          <w:top w:val="nil"/>
          <w:left w:val="nil"/>
          <w:bottom w:val="nil"/>
          <w:right w:val="nil"/>
          <w:between w:val="nil"/>
        </w:pBdr>
      </w:pPr>
      <w:r w:rsidRPr="00073878">
        <w:t>Annexe 4 : Présentation de la Direction des Collections (DCO)</w:t>
      </w:r>
    </w:p>
    <w:p w14:paraId="63EB3D57" w14:textId="3A254E4D" w:rsidR="00AA28A8" w:rsidRPr="00073878" w:rsidRDefault="00AA28A8" w:rsidP="00AA28A8">
      <w:pPr>
        <w:numPr>
          <w:ilvl w:val="1"/>
          <w:numId w:val="10"/>
        </w:numPr>
        <w:pBdr>
          <w:top w:val="nil"/>
          <w:left w:val="nil"/>
          <w:bottom w:val="nil"/>
          <w:right w:val="nil"/>
          <w:between w:val="nil"/>
        </w:pBdr>
      </w:pPr>
      <w:r w:rsidRPr="00073878">
        <w:t>Annexe 5 : Présentation du contexte</w:t>
      </w:r>
    </w:p>
    <w:p w14:paraId="529D1523" w14:textId="0DC2F421" w:rsidR="00AA28A8" w:rsidRPr="00073878" w:rsidRDefault="00AA28A8" w:rsidP="00AA28A8">
      <w:pPr>
        <w:numPr>
          <w:ilvl w:val="1"/>
          <w:numId w:val="10"/>
        </w:numPr>
        <w:pBdr>
          <w:top w:val="nil"/>
          <w:left w:val="nil"/>
          <w:bottom w:val="nil"/>
          <w:right w:val="nil"/>
          <w:between w:val="nil"/>
        </w:pBdr>
      </w:pPr>
      <w:r w:rsidRPr="00073878">
        <w:t>Annexe 6 : Schémas d’architecture BCA (Billetterie Contrôle d’Accès)</w:t>
      </w:r>
    </w:p>
    <w:p w14:paraId="0AA604A2" w14:textId="2A8FA886" w:rsidR="00AA28A8" w:rsidRPr="00073878" w:rsidRDefault="00AA28A8" w:rsidP="00AA28A8">
      <w:pPr>
        <w:numPr>
          <w:ilvl w:val="1"/>
          <w:numId w:val="10"/>
        </w:numPr>
        <w:pBdr>
          <w:top w:val="nil"/>
          <w:left w:val="nil"/>
          <w:bottom w:val="nil"/>
          <w:right w:val="nil"/>
          <w:between w:val="nil"/>
        </w:pBdr>
      </w:pPr>
      <w:r w:rsidRPr="00073878">
        <w:t>Annexe 7 : Parcours des usagers sur les différents sites</w:t>
      </w:r>
    </w:p>
    <w:p w14:paraId="083F5493" w14:textId="0896200F" w:rsidR="00AA28A8" w:rsidRDefault="00AA28A8" w:rsidP="00073878">
      <w:pPr>
        <w:numPr>
          <w:ilvl w:val="1"/>
          <w:numId w:val="10"/>
        </w:numPr>
        <w:pBdr>
          <w:top w:val="nil"/>
          <w:left w:val="nil"/>
          <w:bottom w:val="nil"/>
          <w:right w:val="nil"/>
          <w:between w:val="nil"/>
        </w:pBdr>
      </w:pPr>
      <w:r w:rsidRPr="00073878">
        <w:t>Annexe 8 : Liste des applications de l’écosystème Billetterie Contrôle d’Accès à la BnF</w:t>
      </w:r>
    </w:p>
    <w:p w14:paraId="3FB4C6FF" w14:textId="77777777" w:rsidR="00073DD4" w:rsidRDefault="00073DD4" w:rsidP="00073DD4">
      <w:pPr>
        <w:pStyle w:val="Paragraphedeliste"/>
        <w:numPr>
          <w:ilvl w:val="0"/>
          <w:numId w:val="10"/>
        </w:numPr>
        <w:spacing w:line="240" w:lineRule="atLeast"/>
        <w:contextualSpacing w:val="0"/>
        <w:jc w:val="left"/>
      </w:pPr>
      <w:r>
        <w:t xml:space="preserve">Refonte </w:t>
      </w:r>
      <w:proofErr w:type="spellStart"/>
      <w:r>
        <w:t>BCA_Diagnostic</w:t>
      </w:r>
      <w:proofErr w:type="spellEnd"/>
      <w:r>
        <w:t xml:space="preserve"> et principes directeurs évolutions</w:t>
      </w:r>
    </w:p>
    <w:p w14:paraId="154309A5" w14:textId="77777777" w:rsidR="00073DD4" w:rsidRDefault="00073DD4" w:rsidP="00073DD4">
      <w:pPr>
        <w:pStyle w:val="Paragraphedeliste"/>
        <w:numPr>
          <w:ilvl w:val="0"/>
          <w:numId w:val="10"/>
        </w:numPr>
        <w:spacing w:line="240" w:lineRule="atLeast"/>
        <w:contextualSpacing w:val="0"/>
        <w:jc w:val="left"/>
      </w:pPr>
      <w:r>
        <w:t xml:space="preserve">Refonte </w:t>
      </w:r>
      <w:proofErr w:type="spellStart"/>
      <w:r>
        <w:t>BCA_Benchmark</w:t>
      </w:r>
      <w:proofErr w:type="spellEnd"/>
      <w:r>
        <w:t xml:space="preserve"> institutions et solutions</w:t>
      </w:r>
    </w:p>
    <w:p w14:paraId="0258A19D" w14:textId="64804C6C" w:rsidR="00073DD4" w:rsidRPr="00073878" w:rsidRDefault="00073DD4" w:rsidP="00073DD4">
      <w:pPr>
        <w:pStyle w:val="Paragraphedeliste"/>
        <w:numPr>
          <w:ilvl w:val="0"/>
          <w:numId w:val="10"/>
        </w:numPr>
        <w:spacing w:line="240" w:lineRule="atLeast"/>
        <w:contextualSpacing w:val="0"/>
        <w:jc w:val="left"/>
      </w:pPr>
      <w:r>
        <w:t xml:space="preserve">Refonte </w:t>
      </w:r>
      <w:proofErr w:type="spellStart"/>
      <w:r>
        <w:t>BCA_Scenarii</w:t>
      </w:r>
      <w:proofErr w:type="spellEnd"/>
      <w:r>
        <w:t xml:space="preserve"> d’évolution et de modernisation</w:t>
      </w:r>
    </w:p>
    <w:p w14:paraId="05D76756" w14:textId="77777777" w:rsidR="0025733D" w:rsidRPr="00073878" w:rsidRDefault="0025733D" w:rsidP="0025733D">
      <w:pPr>
        <w:numPr>
          <w:ilvl w:val="0"/>
          <w:numId w:val="10"/>
        </w:numPr>
        <w:pBdr>
          <w:top w:val="nil"/>
          <w:left w:val="nil"/>
          <w:bottom w:val="nil"/>
          <w:right w:val="nil"/>
          <w:between w:val="nil"/>
        </w:pBdr>
      </w:pPr>
      <w:r w:rsidRPr="00073878">
        <w:rPr>
          <w:rFonts w:eastAsia="Arimo"/>
        </w:rPr>
        <w:t>Le guide de dématérialisation des factures – Portail Chorus Pro.</w:t>
      </w:r>
    </w:p>
    <w:p w14:paraId="33A3EF83"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332840F1"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A503AEA"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62F0E2EB"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4E3E4F40"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47732A1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28224DAF" w14:textId="77777777" w:rsidR="0025733D" w:rsidRDefault="0025733D" w:rsidP="002F0C3E">
      <w:pPr>
        <w:rPr>
          <w:b/>
        </w:rPr>
      </w:pPr>
      <w:r w:rsidRPr="008504FB">
        <w:rPr>
          <w:b/>
        </w:rPr>
        <w:t>Toute question qui serait posée et transmise autrement que par la plateforme PLACE ne sera pas prise en compte</w:t>
      </w:r>
    </w:p>
    <w:p w14:paraId="470AF52F"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6CF846" w14:textId="77777777" w:rsidR="002F0C3E" w:rsidRPr="008504FB" w:rsidRDefault="00106DD8" w:rsidP="002F0C3E">
      <w:r>
        <w:lastRenderedPageBreak/>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17D53FF"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100C2AD1" w14:textId="77777777" w:rsidR="002F0C3E" w:rsidRPr="008504FB" w:rsidRDefault="002F0C3E" w:rsidP="002F0C3E">
      <w:pPr>
        <w:rPr>
          <w:b/>
        </w:rPr>
      </w:pPr>
      <w:r w:rsidRPr="008504FB">
        <w:t>Il ne sera répondu à aucune question oralement : les questions doivent être posées par écrit.</w:t>
      </w:r>
    </w:p>
    <w:p w14:paraId="5A0D6D35"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50237E51" w14:textId="77777777" w:rsidR="00CE7C8F" w:rsidRDefault="0026577E" w:rsidP="0026577E">
      <w:r w:rsidRPr="008504FB">
        <w:t xml:space="preserve">Chaque candidat </w:t>
      </w:r>
      <w:r w:rsidR="00CE7C8F">
        <w:t xml:space="preserve">aura à produire un dossier complet comprenant : </w:t>
      </w:r>
    </w:p>
    <w:p w14:paraId="7CB1D120" w14:textId="77777777" w:rsidR="0026577E" w:rsidRPr="008504FB" w:rsidRDefault="0026577E" w:rsidP="00351A41">
      <w:pPr>
        <w:numPr>
          <w:ilvl w:val="0"/>
          <w:numId w:val="14"/>
        </w:numPr>
        <w:pBdr>
          <w:top w:val="nil"/>
          <w:left w:val="nil"/>
          <w:bottom w:val="nil"/>
          <w:right w:val="nil"/>
          <w:between w:val="nil"/>
        </w:pBdr>
      </w:pPr>
      <w:r w:rsidRPr="008504FB">
        <w:rPr>
          <w:rFonts w:eastAsia="Arimo"/>
          <w:color w:val="000000"/>
        </w:rPr>
        <w:t>sa candidature, c’est-à-dire les éléments qui permettront à la BnF d’évaluer sa capacité à soumissionner et ses capacités professionnelles, techniques et financières </w:t>
      </w:r>
    </w:p>
    <w:p w14:paraId="4CB0A173" w14:textId="77777777" w:rsidR="0026577E" w:rsidRPr="00566041" w:rsidRDefault="0026577E" w:rsidP="00351A41">
      <w:pPr>
        <w:numPr>
          <w:ilvl w:val="0"/>
          <w:numId w:val="14"/>
        </w:numPr>
        <w:pBdr>
          <w:top w:val="nil"/>
          <w:left w:val="nil"/>
          <w:bottom w:val="nil"/>
          <w:right w:val="nil"/>
          <w:between w:val="nil"/>
        </w:pBdr>
      </w:pPr>
      <w:r w:rsidRPr="008504FB">
        <w:rPr>
          <w:rFonts w:eastAsia="Arimo"/>
          <w:color w:val="000000"/>
        </w:rPr>
        <w:t xml:space="preserve">son offre, c’est-à-dire la réponse technique et </w:t>
      </w:r>
      <w:r w:rsidR="00F24673" w:rsidRPr="008504FB">
        <w:rPr>
          <w:rFonts w:eastAsia="Arimo"/>
          <w:color w:val="000000"/>
        </w:rPr>
        <w:t>financière</w:t>
      </w:r>
      <w:r w:rsidRPr="008504FB">
        <w:rPr>
          <w:rFonts w:eastAsia="Arimo"/>
          <w:color w:val="000000"/>
        </w:rPr>
        <w:t>.</w:t>
      </w:r>
    </w:p>
    <w:p w14:paraId="2F2E971D"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29680150"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3414"/>
      </w:tblGrid>
      <w:tr w:rsidR="00CE7C8F" w:rsidRPr="00EB3522" w14:paraId="2ABE54DB" w14:textId="77777777" w:rsidTr="00BB3AC8">
        <w:tc>
          <w:tcPr>
            <w:tcW w:w="0" w:type="auto"/>
            <w:gridSpan w:val="2"/>
            <w:shd w:val="clear" w:color="auto" w:fill="auto"/>
            <w:vAlign w:val="center"/>
          </w:tcPr>
          <w:p w14:paraId="1607225F"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0B72C2F2" w14:textId="77777777" w:rsidTr="00BB3AC8">
        <w:tc>
          <w:tcPr>
            <w:tcW w:w="0" w:type="auto"/>
            <w:shd w:val="clear" w:color="auto" w:fill="BFBFBF"/>
            <w:vAlign w:val="center"/>
          </w:tcPr>
          <w:p w14:paraId="62CA0DD4" w14:textId="77777777" w:rsidR="00CE7C8F" w:rsidRDefault="00CE7C8F" w:rsidP="00BB3AC8">
            <w:pPr>
              <w:spacing w:before="0" w:after="0"/>
              <w:jc w:val="left"/>
            </w:pPr>
          </w:p>
        </w:tc>
        <w:tc>
          <w:tcPr>
            <w:tcW w:w="0" w:type="auto"/>
            <w:shd w:val="clear" w:color="auto" w:fill="CCC0D9"/>
            <w:vAlign w:val="center"/>
          </w:tcPr>
          <w:p w14:paraId="7C8167A9"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25FE123E" w14:textId="77777777" w:rsidTr="00566041">
        <w:tc>
          <w:tcPr>
            <w:tcW w:w="0" w:type="auto"/>
            <w:shd w:val="clear" w:color="auto" w:fill="auto"/>
            <w:vAlign w:val="center"/>
          </w:tcPr>
          <w:p w14:paraId="4CAD7DD4"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36C1058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217AC10E" w14:textId="77777777" w:rsidTr="00566041">
        <w:tc>
          <w:tcPr>
            <w:tcW w:w="0" w:type="auto"/>
            <w:shd w:val="clear" w:color="auto" w:fill="auto"/>
            <w:vAlign w:val="center"/>
          </w:tcPr>
          <w:p w14:paraId="1F0E9437"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D58C498" w14:textId="77777777" w:rsidR="00CE7C8F" w:rsidRDefault="00CE7C8F" w:rsidP="007C3C21">
            <w:pPr>
              <w:pStyle w:val="Paragraphedeliste"/>
              <w:numPr>
                <w:ilvl w:val="0"/>
                <w:numId w:val="40"/>
              </w:numPr>
              <w:spacing w:before="0" w:after="0"/>
              <w:jc w:val="left"/>
            </w:pPr>
            <w:r>
              <w:t>K-bis</w:t>
            </w:r>
          </w:p>
        </w:tc>
      </w:tr>
      <w:tr w:rsidR="00566041" w14:paraId="09A143A8" w14:textId="77777777" w:rsidTr="00566041">
        <w:trPr>
          <w:trHeight w:val="828"/>
        </w:trPr>
        <w:tc>
          <w:tcPr>
            <w:tcW w:w="0" w:type="auto"/>
            <w:shd w:val="clear" w:color="auto" w:fill="auto"/>
            <w:vAlign w:val="center"/>
          </w:tcPr>
          <w:p w14:paraId="7D4CF4A6"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0C5277D9" w14:textId="77777777" w:rsidR="00566041" w:rsidRDefault="00566041" w:rsidP="00566041">
            <w:pPr>
              <w:pStyle w:val="Paragraphedeliste"/>
              <w:numPr>
                <w:ilvl w:val="0"/>
                <w:numId w:val="14"/>
              </w:numPr>
              <w:spacing w:before="0" w:after="0"/>
              <w:jc w:val="left"/>
            </w:pPr>
            <w:r>
              <w:t>K-bis</w:t>
            </w:r>
            <w:r w:rsidR="001916F7">
              <w:t xml:space="preserve"> </w:t>
            </w:r>
          </w:p>
          <w:p w14:paraId="52CC76E7"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8FA692B"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32B9CE8" w14:textId="77777777" w:rsidTr="00BB3AC8">
        <w:tc>
          <w:tcPr>
            <w:tcW w:w="0" w:type="auto"/>
            <w:gridSpan w:val="2"/>
            <w:shd w:val="clear" w:color="auto" w:fill="auto"/>
            <w:vAlign w:val="center"/>
          </w:tcPr>
          <w:p w14:paraId="0AAD3DE1"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1DBB7033" w14:textId="77777777" w:rsidTr="00BB3AC8">
        <w:tc>
          <w:tcPr>
            <w:tcW w:w="0" w:type="auto"/>
            <w:shd w:val="clear" w:color="auto" w:fill="BFBFBF"/>
            <w:vAlign w:val="center"/>
          </w:tcPr>
          <w:p w14:paraId="2B2F44A7" w14:textId="77777777" w:rsidR="00CE7C8F" w:rsidRDefault="00CE7C8F" w:rsidP="00BB3AC8">
            <w:pPr>
              <w:spacing w:before="0" w:after="0"/>
              <w:jc w:val="left"/>
            </w:pPr>
          </w:p>
        </w:tc>
        <w:tc>
          <w:tcPr>
            <w:tcW w:w="0" w:type="auto"/>
            <w:shd w:val="clear" w:color="auto" w:fill="CCC0D9"/>
            <w:vAlign w:val="center"/>
          </w:tcPr>
          <w:p w14:paraId="4F698260" w14:textId="77777777" w:rsidR="00CE7C8F" w:rsidRPr="002064CB" w:rsidRDefault="00CE7C8F" w:rsidP="00BB3AC8">
            <w:pPr>
              <w:spacing w:before="0" w:after="0"/>
              <w:jc w:val="center"/>
              <w:rPr>
                <w:b/>
              </w:rPr>
            </w:pPr>
            <w:r w:rsidRPr="002064CB">
              <w:rPr>
                <w:b/>
              </w:rPr>
              <w:t>Types de document à produire</w:t>
            </w:r>
          </w:p>
        </w:tc>
      </w:tr>
      <w:tr w:rsidR="00CE7C8F" w14:paraId="109C02C2" w14:textId="77777777" w:rsidTr="00566041">
        <w:tc>
          <w:tcPr>
            <w:tcW w:w="0" w:type="auto"/>
            <w:shd w:val="clear" w:color="auto" w:fill="auto"/>
            <w:vAlign w:val="center"/>
          </w:tcPr>
          <w:p w14:paraId="3ACC0768"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044E112"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2D7B4389"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6CDAA9FF" w14:textId="77777777" w:rsidR="00566041" w:rsidRDefault="00566041" w:rsidP="00566041">
            <w:pPr>
              <w:pStyle w:val="Paragraphedeliste"/>
              <w:numPr>
                <w:ilvl w:val="0"/>
                <w:numId w:val="14"/>
              </w:numPr>
              <w:spacing w:before="0" w:after="0"/>
              <w:jc w:val="left"/>
            </w:pPr>
            <w:r>
              <w:t>Fiche de synthèse</w:t>
            </w:r>
          </w:p>
          <w:p w14:paraId="1BB88391" w14:textId="77777777" w:rsidR="00CE7C8F" w:rsidRDefault="00CE7C8F" w:rsidP="00566041">
            <w:pPr>
              <w:pStyle w:val="Paragraphedeliste"/>
              <w:numPr>
                <w:ilvl w:val="0"/>
                <w:numId w:val="14"/>
              </w:numPr>
              <w:spacing w:before="0" w:after="0"/>
              <w:jc w:val="left"/>
            </w:pPr>
            <w:r>
              <w:t>DC2 ou DUME</w:t>
            </w:r>
          </w:p>
        </w:tc>
      </w:tr>
      <w:tr w:rsidR="00CE7C8F" w14:paraId="36DAC6E0" w14:textId="77777777" w:rsidTr="00BB3AC8">
        <w:tc>
          <w:tcPr>
            <w:tcW w:w="0" w:type="auto"/>
            <w:shd w:val="clear" w:color="auto" w:fill="auto"/>
            <w:vAlign w:val="center"/>
          </w:tcPr>
          <w:p w14:paraId="4C227EFA" w14:textId="77777777" w:rsidR="00CE7C8F" w:rsidRDefault="00CE7C8F" w:rsidP="00BB3AC8">
            <w:pPr>
              <w:spacing w:before="0" w:after="0"/>
              <w:jc w:val="left"/>
            </w:pPr>
            <w:r>
              <w:t>Déclaration appropriée de banque</w:t>
            </w:r>
          </w:p>
        </w:tc>
        <w:tc>
          <w:tcPr>
            <w:tcW w:w="0" w:type="auto"/>
            <w:shd w:val="clear" w:color="auto" w:fill="auto"/>
            <w:vAlign w:val="center"/>
          </w:tcPr>
          <w:p w14:paraId="626E26FE"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2C4F011B" w14:textId="77777777" w:rsidTr="00BB3AC8">
        <w:tc>
          <w:tcPr>
            <w:tcW w:w="0" w:type="auto"/>
            <w:gridSpan w:val="2"/>
            <w:shd w:val="clear" w:color="auto" w:fill="auto"/>
            <w:vAlign w:val="center"/>
          </w:tcPr>
          <w:p w14:paraId="020C48BC" w14:textId="77777777" w:rsidR="00CE7C8F" w:rsidRDefault="00CE7C8F" w:rsidP="00BB3AC8">
            <w:pPr>
              <w:spacing w:before="0" w:after="0"/>
              <w:jc w:val="center"/>
            </w:pPr>
            <w:r w:rsidRPr="002064CB">
              <w:rPr>
                <w:b/>
              </w:rPr>
              <w:t>DOCUMENTS RELATIF</w:t>
            </w:r>
            <w:r>
              <w:rPr>
                <w:b/>
              </w:rPr>
              <w:t>S A LA CAPACITE TECHNIQUES</w:t>
            </w:r>
          </w:p>
        </w:tc>
      </w:tr>
      <w:tr w:rsidR="00CE7C8F" w14:paraId="7FE7A8CA" w14:textId="77777777" w:rsidTr="00BB3AC8">
        <w:tc>
          <w:tcPr>
            <w:tcW w:w="0" w:type="auto"/>
            <w:shd w:val="clear" w:color="auto" w:fill="BFBFBF"/>
            <w:vAlign w:val="center"/>
          </w:tcPr>
          <w:p w14:paraId="6DEA341D" w14:textId="77777777" w:rsidR="00CE7C8F" w:rsidRDefault="00CE7C8F" w:rsidP="00BB3AC8">
            <w:pPr>
              <w:spacing w:before="0" w:after="0"/>
              <w:jc w:val="left"/>
            </w:pPr>
          </w:p>
        </w:tc>
        <w:tc>
          <w:tcPr>
            <w:tcW w:w="0" w:type="auto"/>
            <w:shd w:val="clear" w:color="auto" w:fill="CCC0D9"/>
            <w:vAlign w:val="center"/>
          </w:tcPr>
          <w:p w14:paraId="4CDE1C11" w14:textId="77777777" w:rsidR="00CE7C8F" w:rsidRPr="002064CB" w:rsidRDefault="00CE7C8F" w:rsidP="00BB3AC8">
            <w:pPr>
              <w:spacing w:before="0" w:after="0"/>
              <w:jc w:val="center"/>
              <w:rPr>
                <w:b/>
              </w:rPr>
            </w:pPr>
            <w:r w:rsidRPr="002064CB">
              <w:rPr>
                <w:b/>
              </w:rPr>
              <w:t>Types de document à produire</w:t>
            </w:r>
          </w:p>
        </w:tc>
      </w:tr>
      <w:tr w:rsidR="00CE7C8F" w14:paraId="163193CB" w14:textId="77777777" w:rsidTr="001916F7">
        <w:trPr>
          <w:trHeight w:val="1010"/>
        </w:trPr>
        <w:tc>
          <w:tcPr>
            <w:tcW w:w="0" w:type="auto"/>
            <w:shd w:val="clear" w:color="auto" w:fill="auto"/>
            <w:vAlign w:val="center"/>
          </w:tcPr>
          <w:p w14:paraId="75434DCF"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320CE4ED"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3B73323"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445EB27" w14:textId="77777777" w:rsidTr="00BB3AC8">
        <w:tc>
          <w:tcPr>
            <w:tcW w:w="0" w:type="auto"/>
            <w:shd w:val="clear" w:color="auto" w:fill="auto"/>
            <w:vAlign w:val="center"/>
          </w:tcPr>
          <w:p w14:paraId="06FF9091"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2E259EB2" w14:textId="1395C190" w:rsidR="00566041" w:rsidRPr="00B30EC0" w:rsidRDefault="00566041" w:rsidP="00B30EC0">
            <w:pPr>
              <w:spacing w:before="240"/>
              <w:jc w:val="left"/>
              <w:rPr>
                <w:b/>
                <w:i/>
              </w:rPr>
            </w:pPr>
          </w:p>
        </w:tc>
      </w:tr>
      <w:tr w:rsidR="00566041" w14:paraId="78A20920" w14:textId="77777777" w:rsidTr="00BB3AC8">
        <w:tc>
          <w:tcPr>
            <w:tcW w:w="0" w:type="auto"/>
            <w:gridSpan w:val="2"/>
            <w:shd w:val="clear" w:color="auto" w:fill="auto"/>
            <w:vAlign w:val="center"/>
          </w:tcPr>
          <w:p w14:paraId="395B24DD" w14:textId="77777777" w:rsidR="00566041" w:rsidRDefault="00566041" w:rsidP="00BB3AC8">
            <w:pPr>
              <w:spacing w:before="0" w:after="0"/>
              <w:jc w:val="center"/>
            </w:pPr>
            <w:r w:rsidRPr="002064CB">
              <w:rPr>
                <w:b/>
              </w:rPr>
              <w:t>DOCUMENTS RELATIF</w:t>
            </w:r>
            <w:r>
              <w:rPr>
                <w:b/>
              </w:rPr>
              <w:t>S A LA CAPACITE PROFESSIONNELLES</w:t>
            </w:r>
          </w:p>
        </w:tc>
      </w:tr>
      <w:tr w:rsidR="00566041" w14:paraId="4549AFEE" w14:textId="77777777" w:rsidTr="00BB3AC8">
        <w:tc>
          <w:tcPr>
            <w:tcW w:w="0" w:type="auto"/>
            <w:shd w:val="clear" w:color="auto" w:fill="BFBFBF"/>
            <w:vAlign w:val="center"/>
          </w:tcPr>
          <w:p w14:paraId="7B44FE77" w14:textId="77777777" w:rsidR="00566041" w:rsidRDefault="00566041" w:rsidP="00BB3AC8">
            <w:pPr>
              <w:spacing w:before="0" w:after="0"/>
              <w:jc w:val="left"/>
            </w:pPr>
          </w:p>
        </w:tc>
        <w:tc>
          <w:tcPr>
            <w:tcW w:w="0" w:type="auto"/>
            <w:shd w:val="clear" w:color="auto" w:fill="CCC0D9"/>
            <w:vAlign w:val="center"/>
          </w:tcPr>
          <w:p w14:paraId="20E32686" w14:textId="77777777" w:rsidR="00566041" w:rsidRPr="002064CB" w:rsidRDefault="00566041" w:rsidP="00BB3AC8">
            <w:pPr>
              <w:spacing w:before="0" w:after="0"/>
              <w:jc w:val="center"/>
              <w:rPr>
                <w:b/>
              </w:rPr>
            </w:pPr>
            <w:r w:rsidRPr="002064CB">
              <w:rPr>
                <w:b/>
              </w:rPr>
              <w:t>Types de document à produire</w:t>
            </w:r>
          </w:p>
        </w:tc>
      </w:tr>
      <w:tr w:rsidR="00566041" w14:paraId="4DF3644A" w14:textId="77777777" w:rsidTr="00BB3AC8">
        <w:trPr>
          <w:trHeight w:val="902"/>
        </w:trPr>
        <w:tc>
          <w:tcPr>
            <w:tcW w:w="0" w:type="auto"/>
            <w:shd w:val="clear" w:color="auto" w:fill="auto"/>
            <w:vAlign w:val="center"/>
          </w:tcPr>
          <w:p w14:paraId="36EF21B7"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0EED44AC"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3F703022" w14:textId="77777777" w:rsidR="00566041" w:rsidRDefault="00566041" w:rsidP="00BB3AC8">
            <w:pPr>
              <w:spacing w:before="0" w:after="0"/>
              <w:jc w:val="center"/>
            </w:pPr>
            <w:r>
              <w:t>Fiche de synthèse</w:t>
            </w:r>
          </w:p>
        </w:tc>
      </w:tr>
      <w:tr w:rsidR="00566041" w14:paraId="1760343D" w14:textId="77777777" w:rsidTr="00BB3AC8">
        <w:trPr>
          <w:trHeight w:val="864"/>
        </w:trPr>
        <w:tc>
          <w:tcPr>
            <w:tcW w:w="0" w:type="auto"/>
            <w:shd w:val="clear" w:color="auto" w:fill="auto"/>
            <w:vAlign w:val="center"/>
          </w:tcPr>
          <w:p w14:paraId="0D5B3FDB" w14:textId="77777777" w:rsidR="00566041" w:rsidRPr="00146298" w:rsidRDefault="00566041" w:rsidP="00CE7C8F">
            <w:pPr>
              <w:numPr>
                <w:ilvl w:val="0"/>
                <w:numId w:val="14"/>
              </w:numPr>
              <w:spacing w:before="0" w:after="0"/>
              <w:jc w:val="left"/>
            </w:pPr>
            <w:r w:rsidRPr="00146298">
              <w:t>liste des principales prestations similaires</w:t>
            </w:r>
            <w:r>
              <w:t xml:space="preserve"> sur les 3 dernières années et leur montant</w:t>
            </w:r>
          </w:p>
        </w:tc>
        <w:tc>
          <w:tcPr>
            <w:tcW w:w="0" w:type="auto"/>
            <w:vMerge/>
            <w:shd w:val="clear" w:color="auto" w:fill="auto"/>
            <w:vAlign w:val="center"/>
          </w:tcPr>
          <w:p w14:paraId="00AD674A" w14:textId="77777777" w:rsidR="00566041" w:rsidRDefault="00566041" w:rsidP="00BB3AC8">
            <w:pPr>
              <w:spacing w:before="0" w:after="0"/>
              <w:jc w:val="center"/>
            </w:pPr>
          </w:p>
        </w:tc>
      </w:tr>
    </w:tbl>
    <w:p w14:paraId="60C0BE08"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D473540"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FD2AF78" w14:textId="77777777" w:rsidR="0026577E" w:rsidRPr="00442091" w:rsidRDefault="0026577E" w:rsidP="0026577E">
      <w:r w:rsidRPr="008504FB">
        <w:t xml:space="preserve">Le soumissionnaire fournit obligatoirement les éléments suivants dans son offre, sous peine </w:t>
      </w:r>
      <w:r w:rsidRPr="00442091">
        <w:t>d’irrégularité de celle-ci :</w:t>
      </w:r>
    </w:p>
    <w:p w14:paraId="20A2528E" w14:textId="77777777" w:rsidR="0026577E" w:rsidRPr="00442091" w:rsidRDefault="0026577E" w:rsidP="00351A41">
      <w:pPr>
        <w:numPr>
          <w:ilvl w:val="0"/>
          <w:numId w:val="4"/>
        </w:numPr>
        <w:pBdr>
          <w:top w:val="nil"/>
          <w:left w:val="nil"/>
          <w:bottom w:val="nil"/>
          <w:right w:val="nil"/>
          <w:between w:val="nil"/>
        </w:pBdr>
      </w:pPr>
      <w:r w:rsidRPr="00442091">
        <w:rPr>
          <w:rFonts w:eastAsia="Arimo"/>
        </w:rPr>
        <w:t>L’acte d’engagement dûment complété</w:t>
      </w:r>
      <w:r w:rsidR="00FC0EB7" w:rsidRPr="00442091">
        <w:rPr>
          <w:rFonts w:eastAsia="Arimo"/>
        </w:rPr>
        <w:t xml:space="preserve"> et </w:t>
      </w:r>
      <w:r w:rsidR="00FC0EB7" w:rsidRPr="00442091">
        <w:rPr>
          <w:rFonts w:eastAsia="Arimo"/>
          <w:b/>
          <w:u w:val="single"/>
        </w:rPr>
        <w:t>non signé (format Word)</w:t>
      </w:r>
      <w:r w:rsidRPr="00442091">
        <w:rPr>
          <w:rFonts w:eastAsia="Arimo"/>
        </w:rPr>
        <w:t xml:space="preserve">, </w:t>
      </w:r>
    </w:p>
    <w:p w14:paraId="0E45E1C3" w14:textId="7FFE91A0" w:rsidR="0026577E" w:rsidRPr="00442091" w:rsidRDefault="0026577E" w:rsidP="00351A41">
      <w:pPr>
        <w:numPr>
          <w:ilvl w:val="0"/>
          <w:numId w:val="4"/>
        </w:numPr>
        <w:pBdr>
          <w:top w:val="nil"/>
          <w:left w:val="nil"/>
          <w:bottom w:val="nil"/>
          <w:right w:val="nil"/>
          <w:between w:val="nil"/>
        </w:pBdr>
      </w:pPr>
      <w:r w:rsidRPr="00442091">
        <w:rPr>
          <w:rFonts w:eastAsia="Arimo"/>
        </w:rPr>
        <w:t xml:space="preserve">La décomposition du prix global et forfaitaire dûment et intégralement complété sous format .XLS ou XLSX (offre financière chiffrée en euros). </w:t>
      </w:r>
    </w:p>
    <w:p w14:paraId="29F2B6F4" w14:textId="77777777" w:rsidR="0026577E" w:rsidRPr="008504FB" w:rsidRDefault="0026577E" w:rsidP="00351A41">
      <w:pPr>
        <w:numPr>
          <w:ilvl w:val="0"/>
          <w:numId w:val="4"/>
        </w:numPr>
        <w:pBdr>
          <w:top w:val="nil"/>
          <w:left w:val="nil"/>
          <w:bottom w:val="nil"/>
          <w:right w:val="nil"/>
          <w:between w:val="nil"/>
        </w:pBdr>
      </w:pPr>
      <w:r w:rsidRPr="00442091">
        <w:rPr>
          <w:rFonts w:eastAsia="Arimo"/>
        </w:rPr>
        <w:t xml:space="preserve">Le cas échéant, les annexes relatives à la déclaration et la demande d'agrément des conditions de paiement d'un sous-traitant (imprimé DC4 téléchargeable sur le site du ministère en charge de l’économie </w:t>
      </w:r>
      <w:r w:rsidRPr="008504FB">
        <w:rPr>
          <w:rFonts w:eastAsia="Arimo"/>
          <w:color w:val="000000"/>
        </w:rPr>
        <w:t>ou équivalent).</w:t>
      </w:r>
    </w:p>
    <w:p w14:paraId="5F61828F"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3ADA9293"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71EFDD23" w14:textId="6425A5D4" w:rsidR="00AB2A53" w:rsidRPr="008504FB" w:rsidRDefault="00AB2A53" w:rsidP="00351A41">
      <w:pPr>
        <w:numPr>
          <w:ilvl w:val="0"/>
          <w:numId w:val="4"/>
        </w:numPr>
        <w:pBdr>
          <w:top w:val="nil"/>
          <w:left w:val="nil"/>
          <w:bottom w:val="nil"/>
          <w:right w:val="nil"/>
          <w:between w:val="nil"/>
        </w:pBdr>
        <w:rPr>
          <w:color w:val="FF0000"/>
        </w:rPr>
      </w:pPr>
      <w:r w:rsidRPr="008504FB">
        <w:rPr>
          <w:color w:val="FF0000"/>
        </w:rPr>
        <w:br w:type="page"/>
      </w:r>
    </w:p>
    <w:p w14:paraId="1A0369F3"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100447DA" w14:textId="77777777" w:rsidR="00055B27" w:rsidRDefault="00055B27" w:rsidP="0026577E">
      <w:r>
        <w:t xml:space="preserve">Ces pièces sont demandées ultérieurement au(x) seul(s) attributaire(s) du marché. </w:t>
      </w:r>
    </w:p>
    <w:p w14:paraId="0F452EFF"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6C2893F9"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5"/>
        <w:gridCol w:w="4603"/>
      </w:tblGrid>
      <w:tr w:rsidR="00055B27" w:rsidRPr="00055B27" w14:paraId="7E03AA5A" w14:textId="77777777" w:rsidTr="00BB3AC8">
        <w:tc>
          <w:tcPr>
            <w:tcW w:w="0" w:type="auto"/>
            <w:gridSpan w:val="2"/>
            <w:shd w:val="clear" w:color="auto" w:fill="E5DFEC"/>
            <w:vAlign w:val="center"/>
          </w:tcPr>
          <w:p w14:paraId="6BC19F28"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E45478A" w14:textId="77777777" w:rsidTr="00BB3AC8">
        <w:tc>
          <w:tcPr>
            <w:tcW w:w="0" w:type="auto"/>
            <w:gridSpan w:val="2"/>
            <w:shd w:val="clear" w:color="auto" w:fill="auto"/>
            <w:vAlign w:val="center"/>
          </w:tcPr>
          <w:p w14:paraId="6DAB4364" w14:textId="77777777" w:rsidR="00055B27" w:rsidRPr="00055B27" w:rsidRDefault="00055B27" w:rsidP="00FC0EB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00FC0EB7" w:rsidRPr="00B30EC0">
              <w:rPr>
                <w:b/>
                <w:u w:val="single"/>
                <w:shd w:val="clear" w:color="auto" w:fill="auto"/>
              </w:rPr>
              <w:t>non signé (format-Word)</w:t>
            </w:r>
          </w:p>
        </w:tc>
      </w:tr>
      <w:tr w:rsidR="00055B27" w:rsidRPr="00055B27" w14:paraId="17673C06" w14:textId="77777777" w:rsidTr="00BB3AC8">
        <w:tc>
          <w:tcPr>
            <w:tcW w:w="0" w:type="auto"/>
            <w:gridSpan w:val="2"/>
            <w:shd w:val="clear" w:color="auto" w:fill="auto"/>
            <w:vAlign w:val="center"/>
          </w:tcPr>
          <w:p w14:paraId="22D66ED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le RIB</w:t>
            </w:r>
            <w:r w:rsidR="00B30EC0">
              <w:rPr>
                <w:shd w:val="clear" w:color="auto" w:fill="auto"/>
              </w:rPr>
              <w:t xml:space="preserve"> ou postal où figure l’IBAN au nom de la société </w:t>
            </w:r>
          </w:p>
        </w:tc>
      </w:tr>
      <w:tr w:rsidR="00055B27" w:rsidRPr="00055B27" w14:paraId="4F4EEDE4" w14:textId="77777777" w:rsidTr="00BB3AC8">
        <w:tc>
          <w:tcPr>
            <w:tcW w:w="0" w:type="auto"/>
            <w:gridSpan w:val="2"/>
            <w:shd w:val="clear" w:color="auto" w:fill="auto"/>
            <w:vAlign w:val="center"/>
          </w:tcPr>
          <w:p w14:paraId="6E7666B4"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49671A3A" w14:textId="77777777" w:rsidTr="00BB3AC8">
        <w:tc>
          <w:tcPr>
            <w:tcW w:w="0" w:type="auto"/>
            <w:gridSpan w:val="2"/>
            <w:shd w:val="clear" w:color="auto" w:fill="auto"/>
            <w:vAlign w:val="center"/>
          </w:tcPr>
          <w:p w14:paraId="22093040"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558CDAB8" w14:textId="77777777" w:rsidR="00055B27" w:rsidRPr="00055B27" w:rsidRDefault="00055B27" w:rsidP="00055B27">
            <w:pPr>
              <w:ind w:left="170"/>
              <w:jc w:val="left"/>
              <w:rPr>
                <w:shd w:val="clear" w:color="auto" w:fill="auto"/>
              </w:rPr>
            </w:pPr>
            <w:r w:rsidRPr="00055B27">
              <w:rPr>
                <w:shd w:val="clear" w:color="auto" w:fill="auto"/>
              </w:rPr>
              <w:t>OU</w:t>
            </w:r>
          </w:p>
          <w:p w14:paraId="17AFAC0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w:t>
            </w:r>
          </w:p>
        </w:tc>
      </w:tr>
      <w:tr w:rsidR="00055B27" w:rsidRPr="00055B27" w14:paraId="50C30440" w14:textId="77777777" w:rsidTr="00BB3AC8">
        <w:tc>
          <w:tcPr>
            <w:tcW w:w="0" w:type="auto"/>
            <w:gridSpan w:val="2"/>
            <w:shd w:val="clear" w:color="auto" w:fill="auto"/>
            <w:vAlign w:val="center"/>
          </w:tcPr>
          <w:p w14:paraId="1365F7D1"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49E0D11C"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0CB66F14" w14:textId="77777777" w:rsidTr="00BB3AC8">
        <w:tc>
          <w:tcPr>
            <w:tcW w:w="0" w:type="auto"/>
            <w:gridSpan w:val="2"/>
            <w:shd w:val="clear" w:color="auto" w:fill="auto"/>
            <w:vAlign w:val="center"/>
          </w:tcPr>
          <w:p w14:paraId="6486E65C"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264052D5"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3455E5" w:rsidRPr="003455E5" w14:paraId="3FAFE4C0" w14:textId="77777777" w:rsidTr="003455E5">
        <w:tc>
          <w:tcPr>
            <w:tcW w:w="0" w:type="auto"/>
            <w:gridSpan w:val="2"/>
            <w:shd w:val="clear" w:color="auto" w:fill="auto"/>
            <w:vAlign w:val="center"/>
          </w:tcPr>
          <w:p w14:paraId="4DD0007F"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p>
        </w:tc>
      </w:tr>
      <w:tr w:rsidR="00055B27" w:rsidRPr="00055B27" w14:paraId="1C75DA1F" w14:textId="77777777" w:rsidTr="00BB3AC8">
        <w:tc>
          <w:tcPr>
            <w:tcW w:w="0" w:type="auto"/>
            <w:gridSpan w:val="2"/>
            <w:shd w:val="clear" w:color="auto" w:fill="E5DFEC"/>
            <w:vAlign w:val="center"/>
          </w:tcPr>
          <w:p w14:paraId="59E760B5"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5D76CFE" w14:textId="77777777" w:rsidTr="003455E5">
        <w:tc>
          <w:tcPr>
            <w:tcW w:w="4702" w:type="dxa"/>
            <w:shd w:val="clear" w:color="auto" w:fill="CCC0D9"/>
            <w:vAlign w:val="center"/>
          </w:tcPr>
          <w:p w14:paraId="703D8CFC"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86" w:type="dxa"/>
            <w:shd w:val="clear" w:color="auto" w:fill="CCC0D9"/>
            <w:vAlign w:val="center"/>
          </w:tcPr>
          <w:p w14:paraId="04568275"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DAA092C" w14:textId="77777777" w:rsidTr="003455E5">
        <w:tc>
          <w:tcPr>
            <w:tcW w:w="4702" w:type="dxa"/>
            <w:shd w:val="clear" w:color="auto" w:fill="auto"/>
            <w:vAlign w:val="center"/>
          </w:tcPr>
          <w:p w14:paraId="347CFF60"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sidRPr="00B30EC0">
              <w:rPr>
                <w:b/>
                <w:u w:val="single"/>
                <w:shd w:val="clear" w:color="auto" w:fill="auto"/>
              </w:rPr>
              <w:t>non signé (format-Word)</w:t>
            </w:r>
          </w:p>
        </w:tc>
        <w:tc>
          <w:tcPr>
            <w:tcW w:w="4586" w:type="dxa"/>
            <w:shd w:val="clear" w:color="auto" w:fill="auto"/>
            <w:vAlign w:val="center"/>
          </w:tcPr>
          <w:p w14:paraId="3A5DDB12" w14:textId="77777777" w:rsidR="00055B27" w:rsidRPr="00055B27" w:rsidRDefault="00FC0EB7" w:rsidP="00055B27">
            <w:pPr>
              <w:numPr>
                <w:ilvl w:val="0"/>
                <w:numId w:val="14"/>
              </w:numPr>
              <w:spacing w:before="0" w:after="0"/>
              <w:ind w:left="454" w:hanging="284"/>
              <w:jc w:val="left"/>
              <w:rPr>
                <w:shd w:val="clear" w:color="auto" w:fill="auto"/>
              </w:rPr>
            </w:pPr>
            <w:r w:rsidRPr="00055B27">
              <w:rPr>
                <w:shd w:val="clear" w:color="auto" w:fill="auto"/>
              </w:rPr>
              <w:t xml:space="preserve">l’acte d'engagement </w:t>
            </w:r>
            <w:r>
              <w:rPr>
                <w:shd w:val="clear" w:color="auto" w:fill="auto"/>
              </w:rPr>
              <w:t xml:space="preserve">non signé </w:t>
            </w:r>
            <w:r w:rsidRPr="0098192E">
              <w:rPr>
                <w:b/>
                <w:u w:val="single"/>
                <w:shd w:val="clear" w:color="auto" w:fill="auto"/>
              </w:rPr>
              <w:t>(format-Word)</w:t>
            </w:r>
          </w:p>
        </w:tc>
      </w:tr>
      <w:tr w:rsidR="00055B27" w:rsidRPr="00055B27" w14:paraId="6B666B38" w14:textId="77777777" w:rsidTr="003455E5">
        <w:tc>
          <w:tcPr>
            <w:tcW w:w="4702" w:type="dxa"/>
            <w:shd w:val="clear" w:color="auto" w:fill="auto"/>
            <w:vAlign w:val="center"/>
          </w:tcPr>
          <w:p w14:paraId="3F2EA956"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86" w:type="dxa"/>
            <w:shd w:val="clear" w:color="auto" w:fill="auto"/>
            <w:vAlign w:val="center"/>
          </w:tcPr>
          <w:p w14:paraId="7C232599"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06AA68F3" w14:textId="77777777" w:rsidTr="003455E5">
        <w:tc>
          <w:tcPr>
            <w:tcW w:w="4702" w:type="dxa"/>
            <w:shd w:val="clear" w:color="auto" w:fill="auto"/>
            <w:vAlign w:val="center"/>
          </w:tcPr>
          <w:p w14:paraId="532C414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86" w:type="dxa"/>
            <w:shd w:val="clear" w:color="auto" w:fill="auto"/>
            <w:vAlign w:val="center"/>
          </w:tcPr>
          <w:p w14:paraId="63D1E77C"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3755F92" w14:textId="77777777" w:rsidTr="003455E5">
        <w:tc>
          <w:tcPr>
            <w:tcW w:w="4702" w:type="dxa"/>
            <w:shd w:val="clear" w:color="auto" w:fill="auto"/>
            <w:vAlign w:val="center"/>
          </w:tcPr>
          <w:p w14:paraId="5288F124"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A97DB20" w14:textId="77777777" w:rsidR="00055B27" w:rsidRPr="00055B27" w:rsidRDefault="00055B27" w:rsidP="00055B27">
            <w:pPr>
              <w:ind w:left="170"/>
              <w:jc w:val="left"/>
              <w:rPr>
                <w:shd w:val="clear" w:color="auto" w:fill="auto"/>
              </w:rPr>
            </w:pPr>
            <w:r w:rsidRPr="00055B27">
              <w:rPr>
                <w:shd w:val="clear" w:color="auto" w:fill="auto"/>
              </w:rPr>
              <w:t>OU</w:t>
            </w:r>
          </w:p>
          <w:p w14:paraId="5EBE4DC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d'origine  pour </w:t>
            </w:r>
            <w:r w:rsidRPr="00055B27">
              <w:rPr>
                <w:b/>
                <w:shd w:val="clear" w:color="auto" w:fill="auto"/>
              </w:rPr>
              <w:t>chaque membre</w:t>
            </w:r>
          </w:p>
        </w:tc>
        <w:tc>
          <w:tcPr>
            <w:tcW w:w="4586" w:type="dxa"/>
            <w:shd w:val="clear" w:color="auto" w:fill="auto"/>
            <w:vAlign w:val="center"/>
          </w:tcPr>
          <w:p w14:paraId="45BB1F3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36A8685A" w14:textId="77777777" w:rsidR="00055B27" w:rsidRPr="00055B27" w:rsidRDefault="00055B27" w:rsidP="00055B27">
            <w:pPr>
              <w:ind w:left="170"/>
              <w:jc w:val="left"/>
              <w:rPr>
                <w:shd w:val="clear" w:color="auto" w:fill="auto"/>
              </w:rPr>
            </w:pPr>
            <w:r w:rsidRPr="00055B27">
              <w:rPr>
                <w:shd w:val="clear" w:color="auto" w:fill="auto"/>
              </w:rPr>
              <w:t>OU</w:t>
            </w:r>
          </w:p>
          <w:p w14:paraId="75B81E75"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un extrait D1 ou, à défaut, un document équivalent délivré par l'autorité judiciaire ou administrative compétente du pays du </w:t>
            </w:r>
            <w:r w:rsidRPr="00055B27">
              <w:rPr>
                <w:b/>
                <w:shd w:val="clear" w:color="auto" w:fill="auto"/>
              </w:rPr>
              <w:t>mandataire</w:t>
            </w:r>
          </w:p>
        </w:tc>
      </w:tr>
      <w:tr w:rsidR="00055B27" w:rsidRPr="00055B27" w14:paraId="2533EE12" w14:textId="77777777" w:rsidTr="003455E5">
        <w:tc>
          <w:tcPr>
            <w:tcW w:w="4702" w:type="dxa"/>
            <w:shd w:val="clear" w:color="auto" w:fill="auto"/>
            <w:vAlign w:val="center"/>
          </w:tcPr>
          <w:p w14:paraId="38E041A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86" w:type="dxa"/>
            <w:shd w:val="clear" w:color="auto" w:fill="auto"/>
            <w:vAlign w:val="center"/>
          </w:tcPr>
          <w:p w14:paraId="0E426BF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064D8BA2" w14:textId="77777777" w:rsidTr="003455E5">
        <w:tc>
          <w:tcPr>
            <w:tcW w:w="4702" w:type="dxa"/>
            <w:shd w:val="clear" w:color="auto" w:fill="auto"/>
            <w:vAlign w:val="center"/>
          </w:tcPr>
          <w:p w14:paraId="5440E322"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pièces prévues à l’article D. 8222-5 du code </w:t>
            </w:r>
            <w:r w:rsidRPr="00055B27">
              <w:rPr>
                <w:shd w:val="clear" w:color="auto" w:fill="auto"/>
              </w:rPr>
              <w:lastRenderedPageBreak/>
              <w:t xml:space="preserve">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86" w:type="dxa"/>
            <w:shd w:val="clear" w:color="auto" w:fill="auto"/>
            <w:vAlign w:val="center"/>
          </w:tcPr>
          <w:p w14:paraId="58566AD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lastRenderedPageBreak/>
              <w:t xml:space="preserve">pièces prévues à l’article D. 8222-5 du code </w:t>
            </w:r>
            <w:r w:rsidRPr="00055B27">
              <w:rPr>
                <w:shd w:val="clear" w:color="auto" w:fill="auto"/>
              </w:rPr>
              <w:lastRenderedPageBreak/>
              <w:t xml:space="preserve">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r w:rsidR="003455E5" w:rsidRPr="00055B27" w14:paraId="6BA568D1" w14:textId="77777777" w:rsidTr="003455E5">
        <w:tc>
          <w:tcPr>
            <w:tcW w:w="4702" w:type="dxa"/>
            <w:shd w:val="clear" w:color="auto" w:fill="auto"/>
            <w:vAlign w:val="center"/>
          </w:tcPr>
          <w:p w14:paraId="67F26AF0"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lastRenderedPageBreak/>
              <w:t xml:space="preserve">Le </w:t>
            </w:r>
            <w:r w:rsidRPr="003455E5">
              <w:rPr>
                <w:shd w:val="clear" w:color="auto" w:fill="auto"/>
              </w:rPr>
              <w:t>questionnaire « diversité et égalité professionnelle »</w:t>
            </w:r>
            <w:r w:rsidRPr="00055B27">
              <w:rPr>
                <w:shd w:val="clear" w:color="auto" w:fill="auto"/>
              </w:rPr>
              <w:t xml:space="preserve"> </w:t>
            </w:r>
            <w:r>
              <w:rPr>
                <w:shd w:val="clear" w:color="auto" w:fill="auto"/>
              </w:rPr>
              <w:t xml:space="preserve">complété </w:t>
            </w:r>
            <w:r w:rsidRPr="00055B27">
              <w:rPr>
                <w:shd w:val="clear" w:color="auto" w:fill="auto"/>
              </w:rPr>
              <w:t xml:space="preserve">pour </w:t>
            </w:r>
            <w:r w:rsidRPr="00055B27">
              <w:rPr>
                <w:b/>
                <w:shd w:val="clear" w:color="auto" w:fill="auto"/>
              </w:rPr>
              <w:t>chaque membre</w:t>
            </w:r>
          </w:p>
        </w:tc>
        <w:tc>
          <w:tcPr>
            <w:tcW w:w="4586" w:type="dxa"/>
            <w:shd w:val="clear" w:color="auto" w:fill="auto"/>
            <w:vAlign w:val="center"/>
          </w:tcPr>
          <w:p w14:paraId="59FD7604" w14:textId="77777777" w:rsidR="003455E5" w:rsidRPr="00055B27" w:rsidRDefault="003455E5" w:rsidP="003455E5">
            <w:pPr>
              <w:numPr>
                <w:ilvl w:val="0"/>
                <w:numId w:val="14"/>
              </w:numPr>
              <w:spacing w:before="0" w:after="0"/>
              <w:ind w:left="454" w:hanging="284"/>
              <w:jc w:val="left"/>
              <w:rPr>
                <w:shd w:val="clear" w:color="auto" w:fill="auto"/>
              </w:rPr>
            </w:pPr>
            <w:r>
              <w:rPr>
                <w:shd w:val="clear" w:color="auto" w:fill="auto"/>
              </w:rPr>
              <w:t xml:space="preserve">Le </w:t>
            </w:r>
            <w:r w:rsidRPr="003455E5">
              <w:rPr>
                <w:shd w:val="clear" w:color="auto" w:fill="auto"/>
              </w:rPr>
              <w:t>questionnaire « diversité et égalité professionnelle »</w:t>
            </w:r>
            <w:r w:rsidRPr="00055B27">
              <w:rPr>
                <w:shd w:val="clear" w:color="auto" w:fill="auto"/>
              </w:rPr>
              <w:t xml:space="preserve"> pour </w:t>
            </w:r>
            <w:r>
              <w:rPr>
                <w:b/>
                <w:shd w:val="clear" w:color="auto" w:fill="auto"/>
              </w:rPr>
              <w:t>le mandataire</w:t>
            </w:r>
          </w:p>
        </w:tc>
      </w:tr>
    </w:tbl>
    <w:p w14:paraId="43B3134F" w14:textId="77777777" w:rsidR="00055B27" w:rsidRPr="007849AE" w:rsidRDefault="00055B27" w:rsidP="00055B27">
      <w:pPr>
        <w:spacing w:before="360"/>
        <w:rPr>
          <w:rFonts w:eastAsia="Arimo"/>
        </w:rPr>
      </w:pPr>
      <w:r w:rsidRPr="007849AE">
        <w:rPr>
          <w:rFonts w:eastAsia="Arimo"/>
        </w:rPr>
        <w:t>Si le signataire n'est pas un représentant légal de l'opérateur économique, l'acte lui donnant la capacité de signer est transmis ;</w:t>
      </w:r>
    </w:p>
    <w:p w14:paraId="47F8A16E"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855C9BC"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7E2903CA"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06835C10"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579F0942" w14:textId="21F42543" w:rsidR="00055B27" w:rsidRPr="00D414DF" w:rsidRDefault="00055B27" w:rsidP="00055B27">
      <w:pPr>
        <w:pStyle w:val="Titre3"/>
      </w:pPr>
      <w:r w:rsidRPr="00D414DF">
        <w:t>Sous-traitance</w:t>
      </w:r>
    </w:p>
    <w:p w14:paraId="0B331B65" w14:textId="77777777" w:rsidR="00055B27" w:rsidRDefault="00055B27" w:rsidP="00055B27">
      <w:pPr>
        <w:autoSpaceDE w:val="0"/>
        <w:autoSpaceDN w:val="0"/>
        <w:adjustRightInd w:val="0"/>
        <w:jc w:val="left"/>
        <w:rPr>
          <w:rFonts w:eastAsiaTheme="minorHAnsi" w:cs="ArialMT"/>
          <w:lang w:eastAsia="en-US"/>
        </w:rPr>
      </w:pPr>
      <w:r w:rsidRPr="00D414DF">
        <w:rPr>
          <w:rFonts w:eastAsiaTheme="minorHAnsi" w:cs="ArialMT"/>
          <w:lang w:eastAsia="en-US"/>
        </w:rPr>
        <w:t>Il est rappelé que la sous-traitance totale est interdite. Le candidat peut sous-traiter l’exécution de certaines parties du</w:t>
      </w:r>
      <w:r>
        <w:rPr>
          <w:rFonts w:eastAsiaTheme="minorHAnsi" w:cs="ArialMT"/>
          <w:lang w:eastAsia="en-US"/>
        </w:rPr>
        <w:t xml:space="preserve"> marché à condition d’avoir obtenu préalablement, de la part de la BnF, l’acceptation de chaque sous-traitant et l’agrément de ses conditions de paiement. </w:t>
      </w:r>
    </w:p>
    <w:p w14:paraId="42AEB32E"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431CBC1C"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40695431"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Lorsque le sous-traitant est proposé au stade du dépôt du pli, le candidat doit transmettre l’ensemble des documents administratifs nécessaires  à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3CFA35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6FBAC5C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6B435151"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0937668"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sont </w:t>
      </w:r>
      <w:r w:rsidR="003B35C3">
        <w:t xml:space="preserve"> absentes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04322F81"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455126D" w14:textId="77777777" w:rsidR="003B35C3" w:rsidRDefault="003B35C3" w:rsidP="0026577E">
      <w:r>
        <w:t>Les candidatures sont appréciées au regard de la capacité professionnelle</w:t>
      </w:r>
      <w:r w:rsidR="000E4D84">
        <w:t>,</w:t>
      </w:r>
      <w:r>
        <w:t xml:space="preserve"> technique et financière du candidat.</w:t>
      </w:r>
    </w:p>
    <w:p w14:paraId="1EB099AB" w14:textId="77777777" w:rsidR="0026577E" w:rsidRPr="008504FB" w:rsidRDefault="0026577E" w:rsidP="0026577E">
      <w:r w:rsidRPr="008504FB">
        <w:lastRenderedPageBreak/>
        <w:t>Ne seront pas admises les candidatures qui ne présentent pas les capacités professionnelles, techniques et financières suffisantes au regard des capacités nécessaires pour la réalisation des prestations demandées.</w:t>
      </w:r>
    </w:p>
    <w:p w14:paraId="34D5EE8E"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offres</w:t>
      </w:r>
    </w:p>
    <w:p w14:paraId="0E2D7B41" w14:textId="57FE89E2" w:rsidR="0026577E" w:rsidRPr="008504FB" w:rsidRDefault="0026577E" w:rsidP="0026577E">
      <w:r w:rsidRPr="008504FB">
        <w:t>Le jugement des offres sera effectué sur la base des critères mentionné</w:t>
      </w:r>
      <w:r w:rsidR="003E297F">
        <w:t>s et du cadre de mémoire technique</w:t>
      </w:r>
      <w:r w:rsidRPr="008504FB">
        <w:t>.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44536391" w14:textId="77777777" w:rsidTr="0004107C">
        <w:tc>
          <w:tcPr>
            <w:tcW w:w="8714" w:type="dxa"/>
            <w:shd w:val="clear" w:color="auto" w:fill="DAEEF3" w:themeFill="accent5" w:themeFillTint="33"/>
          </w:tcPr>
          <w:p w14:paraId="01DE32E6" w14:textId="0A6A630D"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TECHNIQUE (</w:t>
            </w:r>
            <w:r w:rsidR="00E52964">
              <w:rPr>
                <w:rFonts w:eastAsia="Arimo"/>
                <w:b/>
                <w:color w:val="FF0000"/>
              </w:rPr>
              <w:t>6</w:t>
            </w:r>
            <w:r w:rsidRPr="008504FB">
              <w:rPr>
                <w:rFonts w:eastAsia="Arimo"/>
                <w:b/>
                <w:color w:val="FF0000"/>
              </w:rPr>
              <w:t>0</w:t>
            </w:r>
            <w:r w:rsidRPr="008504FB">
              <w:rPr>
                <w:rFonts w:eastAsia="Arimo"/>
                <w:b/>
                <w:color w:val="000000"/>
              </w:rPr>
              <w:t>% de la note globale)</w:t>
            </w:r>
          </w:p>
        </w:tc>
      </w:tr>
    </w:tbl>
    <w:p w14:paraId="4E1F8C7E"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18E72440" w14:textId="77777777" w:rsidTr="00467E6D">
        <w:tc>
          <w:tcPr>
            <w:tcW w:w="6240" w:type="dxa"/>
            <w:shd w:val="clear" w:color="auto" w:fill="auto"/>
            <w:tcMar>
              <w:top w:w="100" w:type="dxa"/>
              <w:left w:w="100" w:type="dxa"/>
              <w:bottom w:w="100" w:type="dxa"/>
              <w:right w:w="100" w:type="dxa"/>
            </w:tcMar>
          </w:tcPr>
          <w:p w14:paraId="2B5D8DF3"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3F1B6464"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2C86E693" w14:textId="77777777" w:rsidTr="00467E6D">
        <w:tc>
          <w:tcPr>
            <w:tcW w:w="6240" w:type="dxa"/>
            <w:shd w:val="clear" w:color="auto" w:fill="auto"/>
            <w:tcMar>
              <w:top w:w="100" w:type="dxa"/>
              <w:left w:w="100" w:type="dxa"/>
              <w:bottom w:w="100" w:type="dxa"/>
              <w:right w:w="100" w:type="dxa"/>
            </w:tcMar>
          </w:tcPr>
          <w:p w14:paraId="76666F82" w14:textId="14A9940A" w:rsidR="0026577E" w:rsidRPr="008504FB" w:rsidRDefault="0026577E" w:rsidP="00467E6D">
            <w:pPr>
              <w:widowControl w:val="0"/>
              <w:pBdr>
                <w:top w:val="nil"/>
                <w:left w:val="nil"/>
                <w:bottom w:val="nil"/>
                <w:right w:val="nil"/>
                <w:between w:val="nil"/>
              </w:pBdr>
              <w:jc w:val="left"/>
            </w:pPr>
            <w:r w:rsidRPr="008504FB">
              <w:t xml:space="preserve">Sous-critère n°1 : </w:t>
            </w:r>
            <w:r w:rsidR="00E52964">
              <w:t>Note de compréhension des enjeux de la mission</w:t>
            </w:r>
          </w:p>
        </w:tc>
        <w:tc>
          <w:tcPr>
            <w:tcW w:w="2250" w:type="dxa"/>
            <w:shd w:val="clear" w:color="auto" w:fill="auto"/>
            <w:tcMar>
              <w:top w:w="100" w:type="dxa"/>
              <w:left w:w="100" w:type="dxa"/>
              <w:bottom w:w="100" w:type="dxa"/>
              <w:right w:w="100" w:type="dxa"/>
            </w:tcMar>
          </w:tcPr>
          <w:p w14:paraId="52D0BA46" w14:textId="1A16E096" w:rsidR="0026577E" w:rsidRPr="008504FB" w:rsidRDefault="00E52964" w:rsidP="004B7BA1">
            <w:pPr>
              <w:widowControl w:val="0"/>
              <w:pBdr>
                <w:top w:val="nil"/>
                <w:left w:val="nil"/>
                <w:bottom w:val="nil"/>
                <w:right w:val="nil"/>
                <w:between w:val="nil"/>
              </w:pBdr>
              <w:jc w:val="center"/>
            </w:pPr>
            <w:r>
              <w:t>10 %</w:t>
            </w:r>
          </w:p>
        </w:tc>
      </w:tr>
      <w:tr w:rsidR="0026577E" w:rsidRPr="008504FB" w14:paraId="24316AA6" w14:textId="77777777" w:rsidTr="00467E6D">
        <w:tc>
          <w:tcPr>
            <w:tcW w:w="6240" w:type="dxa"/>
            <w:shd w:val="clear" w:color="auto" w:fill="auto"/>
            <w:tcMar>
              <w:top w:w="100" w:type="dxa"/>
              <w:left w:w="100" w:type="dxa"/>
              <w:bottom w:w="100" w:type="dxa"/>
              <w:right w:w="100" w:type="dxa"/>
            </w:tcMar>
          </w:tcPr>
          <w:p w14:paraId="4E485265" w14:textId="421B0B02" w:rsidR="0026577E" w:rsidRPr="008504FB" w:rsidRDefault="0026577E" w:rsidP="00467E6D">
            <w:pPr>
              <w:widowControl w:val="0"/>
              <w:jc w:val="left"/>
            </w:pPr>
            <w:r w:rsidRPr="008504FB">
              <w:t xml:space="preserve">Sous-critère n°2 : </w:t>
            </w:r>
            <w:r w:rsidR="00E52964">
              <w:t>Organisation du projet</w:t>
            </w:r>
          </w:p>
        </w:tc>
        <w:tc>
          <w:tcPr>
            <w:tcW w:w="2250" w:type="dxa"/>
            <w:shd w:val="clear" w:color="auto" w:fill="auto"/>
            <w:tcMar>
              <w:top w:w="100" w:type="dxa"/>
              <w:left w:w="100" w:type="dxa"/>
              <w:bottom w:w="100" w:type="dxa"/>
              <w:right w:w="100" w:type="dxa"/>
            </w:tcMar>
          </w:tcPr>
          <w:p w14:paraId="478DC0FC" w14:textId="09D97AD2" w:rsidR="0026577E" w:rsidRPr="008504FB" w:rsidRDefault="004B7BA1" w:rsidP="004B7BA1">
            <w:pPr>
              <w:widowControl w:val="0"/>
              <w:pBdr>
                <w:top w:val="nil"/>
                <w:left w:val="nil"/>
                <w:bottom w:val="nil"/>
                <w:right w:val="nil"/>
                <w:between w:val="nil"/>
              </w:pBdr>
              <w:jc w:val="center"/>
            </w:pPr>
            <w:r>
              <w:t>40 %</w:t>
            </w:r>
          </w:p>
        </w:tc>
      </w:tr>
      <w:tr w:rsidR="0026577E" w:rsidRPr="008504FB" w14:paraId="0075DA6D" w14:textId="77777777" w:rsidTr="00467E6D">
        <w:tc>
          <w:tcPr>
            <w:tcW w:w="6240" w:type="dxa"/>
            <w:shd w:val="clear" w:color="auto" w:fill="auto"/>
            <w:tcMar>
              <w:top w:w="100" w:type="dxa"/>
              <w:left w:w="100" w:type="dxa"/>
              <w:bottom w:w="100" w:type="dxa"/>
              <w:right w:w="100" w:type="dxa"/>
            </w:tcMar>
          </w:tcPr>
          <w:p w14:paraId="16D539C0" w14:textId="27C98495" w:rsidR="0026577E" w:rsidRPr="008504FB" w:rsidRDefault="0026577E" w:rsidP="00467E6D">
            <w:pPr>
              <w:widowControl w:val="0"/>
              <w:jc w:val="left"/>
            </w:pPr>
            <w:r w:rsidRPr="008504FB">
              <w:t>Sous-critère n°3 :</w:t>
            </w:r>
            <w:r w:rsidR="00E52964">
              <w:t xml:space="preserve"> Qualité des profils</w:t>
            </w:r>
          </w:p>
        </w:tc>
        <w:tc>
          <w:tcPr>
            <w:tcW w:w="2250" w:type="dxa"/>
            <w:shd w:val="clear" w:color="auto" w:fill="auto"/>
            <w:tcMar>
              <w:top w:w="100" w:type="dxa"/>
              <w:left w:w="100" w:type="dxa"/>
              <w:bottom w:w="100" w:type="dxa"/>
              <w:right w:w="100" w:type="dxa"/>
            </w:tcMar>
          </w:tcPr>
          <w:p w14:paraId="0D152D41" w14:textId="2636EF9B" w:rsidR="0026577E" w:rsidRPr="008504FB" w:rsidRDefault="004B7BA1" w:rsidP="004B7BA1">
            <w:pPr>
              <w:widowControl w:val="0"/>
              <w:pBdr>
                <w:top w:val="nil"/>
                <w:left w:val="nil"/>
                <w:bottom w:val="nil"/>
                <w:right w:val="nil"/>
                <w:between w:val="nil"/>
              </w:pBdr>
              <w:jc w:val="center"/>
            </w:pPr>
            <w:r>
              <w:t>50%</w:t>
            </w:r>
          </w:p>
        </w:tc>
      </w:tr>
    </w:tbl>
    <w:p w14:paraId="01DCBF22"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5C10531" w14:textId="77777777" w:rsidTr="00467E6D">
        <w:tc>
          <w:tcPr>
            <w:tcW w:w="8714" w:type="dxa"/>
            <w:shd w:val="clear" w:color="auto" w:fill="DAEEF3" w:themeFill="accent5" w:themeFillTint="33"/>
          </w:tcPr>
          <w:p w14:paraId="0C9D332D" w14:textId="327B55C2"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2 : PRIX (</w:t>
            </w:r>
            <w:r w:rsidR="00E52964">
              <w:rPr>
                <w:rFonts w:eastAsia="Arimo"/>
                <w:b/>
                <w:color w:val="FF0000"/>
              </w:rPr>
              <w:t>4</w:t>
            </w:r>
            <w:r w:rsidRPr="008504FB">
              <w:rPr>
                <w:rFonts w:eastAsia="Arimo"/>
                <w:b/>
                <w:color w:val="FF0000"/>
              </w:rPr>
              <w:t>0</w:t>
            </w:r>
            <w:r w:rsidRPr="008504FB">
              <w:rPr>
                <w:rFonts w:eastAsia="Arimo"/>
                <w:b/>
                <w:color w:val="000000"/>
              </w:rPr>
              <w:t>% de la note globale)</w:t>
            </w:r>
          </w:p>
        </w:tc>
      </w:tr>
    </w:tbl>
    <w:p w14:paraId="58F0E9FA" w14:textId="1F23990E" w:rsidR="0026577E" w:rsidRPr="003E297F" w:rsidRDefault="0026577E" w:rsidP="0026577E">
      <w:r w:rsidRPr="003E297F">
        <w:t>Le prix sera évalué sur la base de la Décomposition du Prix Global et Forfaitaire (D.P.G.F) joint au dossier de consultation des entreprises.</w:t>
      </w:r>
    </w:p>
    <w:p w14:paraId="2D4D0DD1" w14:textId="3D51FB19" w:rsidR="003B35C3" w:rsidRPr="003B35C3" w:rsidRDefault="003B35C3" w:rsidP="003B35C3">
      <w:pPr>
        <w:pStyle w:val="Titre2"/>
        <w:rPr>
          <w:rFonts w:ascii="Times New Roman" w:hAnsi="Times New Roman"/>
        </w:rPr>
      </w:pPr>
      <w:r w:rsidRPr="003B35C3">
        <w:rPr>
          <w:rFonts w:ascii="Times New Roman" w:hAnsi="Times New Roman"/>
        </w:rPr>
        <w:t xml:space="preserve">Négociations </w:t>
      </w:r>
    </w:p>
    <w:p w14:paraId="0017D063" w14:textId="77777777" w:rsidR="003B35C3" w:rsidRDefault="003B35C3" w:rsidP="003B35C3">
      <w:r w:rsidRPr="003B35C3">
        <w:rPr>
          <w:bCs/>
        </w:rPr>
        <w:t xml:space="preserve">Le BnF pourra négocier avec les trois (3) premières entreprises ayant obtenu au </w:t>
      </w:r>
      <w:r w:rsidRPr="003B35C3">
        <w:t>minimum la moyenne à la note technique et au minimum la moyenne à la note financière. La BnF se réserve également la possibilité d’attribuer le marché public sur la base des offres initiales sans négociation.</w:t>
      </w:r>
    </w:p>
    <w:p w14:paraId="3DD4A9EA"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28742D0" w14:textId="77777777" w:rsidR="00082903" w:rsidRDefault="00082903" w:rsidP="00082903">
      <w:pPr>
        <w:pStyle w:val="Titre2"/>
        <w:rPr>
          <w:rFonts w:ascii="Times New Roman" w:hAnsi="Times New Roman"/>
        </w:rPr>
      </w:pPr>
      <w:bookmarkStart w:id="2" w:name="_heading=h.30j0zll" w:colFirst="0" w:colLast="0"/>
      <w:bookmarkEnd w:id="2"/>
      <w:r>
        <w:rPr>
          <w:rFonts w:ascii="Times New Roman" w:hAnsi="Times New Roman"/>
        </w:rPr>
        <w:t>Modalités de signature de l’offre</w:t>
      </w:r>
    </w:p>
    <w:p w14:paraId="3A1AE002" w14:textId="77777777" w:rsidR="00082903" w:rsidRDefault="00082903" w:rsidP="00082903">
      <w:pPr>
        <w:pStyle w:val="Titre3"/>
      </w:pPr>
      <w:r>
        <w:t xml:space="preserve">Signature électronique de l’offre </w:t>
      </w:r>
      <w:r w:rsidR="001C0E2D">
        <w:t>par l’attributaire</w:t>
      </w:r>
    </w:p>
    <w:p w14:paraId="34107A47"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772FCF8E"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003A6BA8" w14:textId="77777777" w:rsidR="00082903" w:rsidRDefault="001C0E2D" w:rsidP="00082903">
      <w:pPr>
        <w:pStyle w:val="Titre3"/>
      </w:pPr>
      <w:r>
        <w:lastRenderedPageBreak/>
        <w:t>Signature électronique du marché par la BnF</w:t>
      </w:r>
    </w:p>
    <w:p w14:paraId="07CCA0DE" w14:textId="77777777" w:rsidR="00082903" w:rsidRDefault="00082903" w:rsidP="00082903">
      <w:pPr>
        <w:pBdr>
          <w:top w:val="nil"/>
          <w:left w:val="nil"/>
          <w:bottom w:val="nil"/>
          <w:right w:val="nil"/>
          <w:between w:val="nil"/>
        </w:pBdr>
        <w:spacing w:line="288" w:lineRule="auto"/>
        <w:ind w:right="425"/>
      </w:pPr>
      <w:r>
        <w:t>Pour les marchés passés selon la procédure adaptée, le délai de suspension ne s’applique pas.</w:t>
      </w:r>
    </w:p>
    <w:p w14:paraId="50441A72"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FB77149"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1B81F09D" w14:textId="77777777" w:rsidR="002F0C3E" w:rsidRPr="008504FB" w:rsidRDefault="002F0C3E" w:rsidP="002F0C3E">
      <w:pPr>
        <w:spacing w:line="288" w:lineRule="auto"/>
        <w:ind w:right="-2"/>
        <w:jc w:val="left"/>
      </w:pPr>
      <w:r w:rsidRPr="008504FB">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62F86A82"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6F1AF542"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783FE4BA"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4636A83C"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39E0D898"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01E20E0C"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 xml:space="preserve">Une </w:t>
      </w:r>
      <w:r w:rsidR="009E22C8">
        <w:t xml:space="preserve"> </w:t>
      </w:r>
      <w:r>
        <w:t>assistance téléphonique</w:t>
      </w:r>
    </w:p>
    <w:p w14:paraId="58419921"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679C7EB9"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79B67A16"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687699FF"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28FEBD28"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 xml:space="preserve">ne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4FAB622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ne pas utiliser certains outils, notamment les “macros” ;</w:t>
      </w:r>
    </w:p>
    <w:p w14:paraId="7CE0411C"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r w:rsidRPr="008504FB">
        <w:rPr>
          <w:color w:val="000000"/>
        </w:rPr>
        <w:t>faire en sorte que l’offre ne soit pas trop volumineuse ;</w:t>
      </w:r>
    </w:p>
    <w:p w14:paraId="422EC70F"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79755E8"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23C75563" w14:textId="77777777" w:rsidR="0026577E" w:rsidRPr="008504FB" w:rsidRDefault="0026577E" w:rsidP="0026577E">
      <w:bookmarkStart w:id="3" w:name="_heading=h.1fob9te" w:colFirst="0" w:colLast="0"/>
      <w:bookmarkEnd w:id="3"/>
      <w:r w:rsidRPr="008504FB">
        <w:t>Le candidat peut envoyer une copie de sauvegarde sur support physique électronique (Clé USB).</w:t>
      </w:r>
    </w:p>
    <w:p w14:paraId="312381F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3DF9D5F7" w14:textId="77777777" w:rsidTr="00467E6D">
        <w:tc>
          <w:tcPr>
            <w:tcW w:w="8714" w:type="dxa"/>
          </w:tcPr>
          <w:p w14:paraId="3A3DDA1D" w14:textId="77777777" w:rsidR="0026577E" w:rsidRPr="008504FB" w:rsidRDefault="0026577E" w:rsidP="00467E6D">
            <w:pPr>
              <w:jc w:val="center"/>
            </w:pPr>
            <w:r w:rsidRPr="008504FB">
              <w:t>COPIE DE SAUVEGARDE D’UNE OFFRE ELECTRONIQUE</w:t>
            </w:r>
          </w:p>
          <w:p w14:paraId="71E56E43" w14:textId="33A37D4C" w:rsidR="0026577E" w:rsidRPr="008504FB" w:rsidRDefault="00A20AD0" w:rsidP="00467E6D">
            <w:pPr>
              <w:jc w:val="center"/>
            </w:pPr>
            <w:r w:rsidRPr="00A20AD0">
              <w:t xml:space="preserve">Assistance à maîtrise d’ouvrage (AMO) pour la rédaction du cahier des charges du projet de </w:t>
            </w:r>
            <w:r w:rsidRPr="00A20AD0">
              <w:lastRenderedPageBreak/>
              <w:t xml:space="preserve">renouvellement Billetterie et Contrôle d’accès à la Bibliothèque </w:t>
            </w:r>
            <w:r w:rsidRPr="00D97247">
              <w:t>nationale de France</w:t>
            </w:r>
            <w:r w:rsidR="0026577E" w:rsidRPr="00D97247">
              <w:t xml:space="preserve"> – </w:t>
            </w:r>
            <w:r w:rsidRPr="00D97247">
              <w:t>NA</w:t>
            </w:r>
          </w:p>
          <w:p w14:paraId="09C3F77B" w14:textId="77777777" w:rsidR="0026577E" w:rsidRPr="008504FB" w:rsidRDefault="0026577E" w:rsidP="00467E6D">
            <w:pPr>
              <w:jc w:val="center"/>
              <w:rPr>
                <w:b/>
              </w:rPr>
            </w:pPr>
            <w:r w:rsidRPr="008504FB">
              <w:t>« NE PAS OUVRIR PAR LE SERVICE COURRIER »</w:t>
            </w:r>
          </w:p>
        </w:tc>
      </w:tr>
    </w:tbl>
    <w:p w14:paraId="34924BFC" w14:textId="77777777" w:rsidR="0026577E" w:rsidRPr="008504FB" w:rsidRDefault="0026577E" w:rsidP="0026577E">
      <w:r w:rsidRPr="008504FB">
        <w:lastRenderedPageBreak/>
        <w:t>L’offre sera remise sous enveloppe portant l'adresse suivante :</w:t>
      </w:r>
    </w:p>
    <w:p w14:paraId="6B79C18F" w14:textId="77777777" w:rsidR="0026577E" w:rsidRPr="008504FB" w:rsidRDefault="0026577E" w:rsidP="001C0E2D">
      <w:pPr>
        <w:spacing w:after="0"/>
        <w:jc w:val="center"/>
      </w:pPr>
      <w:r w:rsidRPr="008504FB">
        <w:t>Bibliothèque nationale de France</w:t>
      </w:r>
    </w:p>
    <w:p w14:paraId="390381F0" w14:textId="77777777" w:rsidR="0026577E" w:rsidRPr="008504FB" w:rsidRDefault="0026577E" w:rsidP="001C0E2D">
      <w:pPr>
        <w:spacing w:before="0" w:after="0"/>
        <w:jc w:val="center"/>
      </w:pPr>
      <w:r w:rsidRPr="008504FB">
        <w:t>Direction de l’administration et du personnel</w:t>
      </w:r>
    </w:p>
    <w:p w14:paraId="569C98BF" w14:textId="77777777" w:rsidR="0026577E" w:rsidRPr="008504FB" w:rsidRDefault="0026577E" w:rsidP="001C0E2D">
      <w:pPr>
        <w:spacing w:before="0" w:after="0"/>
        <w:jc w:val="center"/>
      </w:pPr>
      <w:r w:rsidRPr="008504FB">
        <w:t>Service des marchés -Tour des lettres T4 (niveau 6) Bureau 06.131</w:t>
      </w:r>
    </w:p>
    <w:p w14:paraId="509CB8F1" w14:textId="77777777" w:rsidR="0026577E" w:rsidRPr="008504FB" w:rsidRDefault="0026577E" w:rsidP="001C0E2D">
      <w:pPr>
        <w:spacing w:before="0" w:after="0"/>
        <w:jc w:val="center"/>
      </w:pPr>
      <w:r w:rsidRPr="008504FB">
        <w:t>Quai François Mauriac</w:t>
      </w:r>
    </w:p>
    <w:p w14:paraId="276FE26C" w14:textId="77777777" w:rsidR="0026577E" w:rsidRPr="008504FB" w:rsidRDefault="0026577E" w:rsidP="001C0E2D">
      <w:pPr>
        <w:spacing w:before="0" w:after="0"/>
        <w:jc w:val="center"/>
      </w:pPr>
      <w:r w:rsidRPr="008504FB">
        <w:t>75706 Paris cedex 13</w:t>
      </w:r>
    </w:p>
    <w:p w14:paraId="0A4E2028" w14:textId="77777777" w:rsidR="0026577E" w:rsidRPr="008504FB" w:rsidRDefault="0026577E" w:rsidP="0026577E">
      <w:r w:rsidRPr="008504FB">
        <w:t>Les copies de sauvegarde dont l'avis de réception serait délivré après la date et l'heure fixées ci-avant ainsi que ceux qui ne seraient pas remis sous enveloppe cachetée, ne seront pas retenus.</w:t>
      </w:r>
    </w:p>
    <w:p w14:paraId="0FA5B92B"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63BD59A5"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225038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11054429" w14:textId="77777777" w:rsidR="003B35C3" w:rsidRPr="008504FB" w:rsidRDefault="003B35C3" w:rsidP="003B35C3">
      <w:r w:rsidRPr="008504FB">
        <w:t>Vis-à-vis des traitements de données à caractère personnel précités, la BnF a la qualité de responsable de traitement au sens du RGPD.</w:t>
      </w:r>
    </w:p>
    <w:p w14:paraId="1214A4F3"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D08BFC4"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13B1929B"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1E51F3F7"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9091249"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7C0F664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75D3202F" w14:textId="77777777" w:rsidR="00D313D8" w:rsidRDefault="00D313D8" w:rsidP="00D313D8">
      <w:r>
        <w:t>L’instance chargée des procédures de recours et auprès de laquelle des renseignements peuvent être obtenus est :</w:t>
      </w:r>
    </w:p>
    <w:p w14:paraId="3F86910D" w14:textId="77777777" w:rsidR="00D313D8" w:rsidRDefault="00D313D8" w:rsidP="00D313D8">
      <w:pPr>
        <w:spacing w:before="0" w:after="0"/>
        <w:jc w:val="center"/>
      </w:pPr>
      <w:r>
        <w:t>Tribunal administratif de Paris</w:t>
      </w:r>
    </w:p>
    <w:p w14:paraId="287781CE" w14:textId="77777777" w:rsidR="00D313D8" w:rsidRDefault="00D313D8" w:rsidP="00D313D8">
      <w:pPr>
        <w:spacing w:before="0" w:after="0"/>
        <w:jc w:val="center"/>
      </w:pPr>
      <w:r>
        <w:t>7, rue de Jouy, 75004 Paris.</w:t>
      </w:r>
    </w:p>
    <w:p w14:paraId="0BBB8CC3" w14:textId="77777777" w:rsidR="00D313D8" w:rsidRDefault="00D313D8" w:rsidP="00D313D8">
      <w:pPr>
        <w:spacing w:before="0" w:after="0"/>
        <w:jc w:val="center"/>
      </w:pPr>
      <w:r>
        <w:lastRenderedPageBreak/>
        <w:t>Tel : +33 14 45 94 400</w:t>
      </w:r>
    </w:p>
    <w:p w14:paraId="3513CEE9" w14:textId="77777777" w:rsidR="00D313D8" w:rsidRPr="00D313D8" w:rsidRDefault="00D313D8" w:rsidP="00D313D8">
      <w:pPr>
        <w:spacing w:before="0" w:after="0"/>
        <w:jc w:val="center"/>
      </w:pPr>
      <w:r>
        <w:t>Adresse courriel : greffe.taparis@juradm.fr</w:t>
      </w:r>
    </w:p>
    <w:p w14:paraId="53F591B7" w14:textId="77777777" w:rsidR="00D313D8" w:rsidRPr="00D313D8" w:rsidRDefault="00D313D8" w:rsidP="00FC0EB7">
      <w:pPr>
        <w:pStyle w:val="Titre1"/>
        <w:ind w:left="431" w:hanging="431"/>
      </w:pPr>
      <w:r w:rsidRPr="00D313D8">
        <w:rPr>
          <w:rFonts w:ascii="Times New Roman" w:hAnsi="Times New Roman"/>
        </w:rPr>
        <w:t>DEMARCHE LABELISATION</w:t>
      </w:r>
    </w:p>
    <w:p w14:paraId="0EE407DA"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5D0DFF06" w14:textId="77777777" w:rsidR="00D313D8" w:rsidRDefault="00D313D8" w:rsidP="0026577E">
      <w:r>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7CFD784C" w14:textId="77777777" w:rsidR="00510E97" w:rsidRDefault="00545530" w:rsidP="0026577E">
      <w:r>
        <w:t>Pour inciter ses partenaires à entamer ou développer une démarche similaires ou pour s’inspirer de ce que ce dernier a déjà entrepris en matière d’égalité professionnelle et de lutte contre les discriminations, la BnF a rédigé un questionnaire « diversité et égalité professionnelle » annexé au règlement de la consultation.</w:t>
      </w:r>
    </w:p>
    <w:p w14:paraId="22FCE3C3" w14:textId="77777777" w:rsidR="001C0E2D" w:rsidRDefault="003455E5" w:rsidP="003455E5">
      <w:pPr>
        <w:jc w:val="left"/>
        <w:sectPr w:rsidR="001C0E2D">
          <w:headerReference w:type="default" r:id="rId19"/>
          <w:footerReference w:type="default" r:id="rId20"/>
          <w:pgSz w:w="11906" w:h="16838"/>
          <w:pgMar w:top="1417" w:right="1417" w:bottom="1417" w:left="1417" w:header="708" w:footer="708" w:gutter="0"/>
          <w:cols w:space="708"/>
          <w:docGrid w:linePitch="360"/>
        </w:sectPr>
      </w:pPr>
      <w:r>
        <w:t xml:space="preserve">Ce questionnaire doit obligatoirement être remis par le futur Titulaire du marché public conformément aux dispositions de l’article 6.3 du présent règlement de la consultation. </w:t>
      </w:r>
    </w:p>
    <w:p w14:paraId="1B9A702B" w14:textId="77777777" w:rsidR="0004107C" w:rsidRPr="008504FB" w:rsidRDefault="0004107C" w:rsidP="00A20AD0">
      <w:pPr>
        <w:jc w:val="center"/>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5ACD1" w14:textId="77777777" w:rsidR="00AA28A8" w:rsidRDefault="00AA28A8" w:rsidP="00011492">
      <w:r>
        <w:separator/>
      </w:r>
    </w:p>
  </w:endnote>
  <w:endnote w:type="continuationSeparator" w:id="0">
    <w:p w14:paraId="2B1A15C3" w14:textId="77777777" w:rsidR="00AA28A8" w:rsidRDefault="00AA28A8"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FCFC5" w14:textId="77777777" w:rsidR="00AA28A8" w:rsidRDefault="00AA28A8">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668260A7" w14:textId="77777777" w:rsidR="00AA28A8" w:rsidRDefault="00AA28A8">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5A120" w14:textId="77777777" w:rsidR="00AA28A8" w:rsidRDefault="00AA28A8">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56E350FE" w14:textId="77777777" w:rsidR="00AA28A8" w:rsidRDefault="00AA28A8">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12B35CA" w14:textId="77777777" w:rsidR="00AA28A8" w:rsidRDefault="00AA28A8"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233DD" w14:textId="77777777" w:rsidR="00AA28A8" w:rsidRDefault="00AA28A8" w:rsidP="00011492">
      <w:r>
        <w:separator/>
      </w:r>
    </w:p>
  </w:footnote>
  <w:footnote w:type="continuationSeparator" w:id="0">
    <w:p w14:paraId="3A05DF81" w14:textId="77777777" w:rsidR="00AA28A8" w:rsidRDefault="00AA28A8" w:rsidP="00011492">
      <w:r>
        <w:continuationSeparator/>
      </w:r>
    </w:p>
  </w:footnote>
  <w:footnote w:id="1">
    <w:p w14:paraId="69337045" w14:textId="77777777" w:rsidR="00AA28A8" w:rsidRDefault="00AA28A8">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2D35" w14:textId="77777777" w:rsidR="00AA28A8" w:rsidRDefault="00AA28A8">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7E68F722" w14:textId="77777777" w:rsidR="00AA28A8" w:rsidRDefault="00AA28A8">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6D79" w14:textId="77777777" w:rsidR="00AA28A8" w:rsidRDefault="00AA28A8">
    <w:pPr>
      <w:pBdr>
        <w:top w:val="nil"/>
        <w:left w:val="nil"/>
        <w:bottom w:val="nil"/>
        <w:right w:val="nil"/>
        <w:between w:val="nil"/>
      </w:pBdr>
      <w:tabs>
        <w:tab w:val="center" w:pos="4536"/>
        <w:tab w:val="right" w:pos="9072"/>
      </w:tabs>
      <w:jc w:val="right"/>
      <w:rPr>
        <w:rFonts w:ascii="Arimo" w:eastAsia="Arimo" w:hAnsi="Arimo" w:cs="Arimo"/>
        <w:color w:val="000000"/>
      </w:rPr>
    </w:pPr>
  </w:p>
  <w:p w14:paraId="175F7627" w14:textId="77777777" w:rsidR="00AA28A8" w:rsidRDefault="00AA28A8">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45569" w14:textId="77777777" w:rsidR="00AA28A8" w:rsidRDefault="00AA28A8">
    <w:pPr>
      <w:pStyle w:val="En-tte"/>
    </w:pPr>
    <w:r w:rsidRPr="007849AE">
      <w:rPr>
        <w:noProof/>
      </w:rPr>
      <w:drawing>
        <wp:anchor distT="0" distB="0" distL="114300" distR="114300" simplePos="0" relativeHeight="251659264" behindDoc="0" locked="0" layoutInCell="1" hidden="0" allowOverlap="1" wp14:anchorId="4708DF8D" wp14:editId="3A74F78B">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BC2FF" w14:textId="77777777" w:rsidR="00AA28A8" w:rsidRDefault="00AA28A8" w:rsidP="00AB2A53">
    <w:pPr>
      <w:pStyle w:val="En-tte"/>
    </w:pPr>
    <w:r>
      <w:rPr>
        <w:noProof/>
      </w:rPr>
      <w:drawing>
        <wp:inline distT="0" distB="0" distL="0" distR="0" wp14:anchorId="21E3E524" wp14:editId="3EDA51F2">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C99A71"/>
    <w:multiLevelType w:val="hybridMultilevel"/>
    <w:tmpl w:val="BE22AF66"/>
    <w:lvl w:ilvl="0" w:tplc="8C3C680C">
      <w:start w:val="1"/>
      <w:numFmt w:val="bullet"/>
      <w:lvlText w:val=""/>
      <w:lvlJc w:val="left"/>
      <w:pPr>
        <w:ind w:left="720" w:hanging="360"/>
      </w:pPr>
      <w:rPr>
        <w:rFonts w:ascii="Symbol" w:hAnsi="Symbol" w:hint="default"/>
      </w:rPr>
    </w:lvl>
    <w:lvl w:ilvl="1" w:tplc="2E3CFA40">
      <w:start w:val="1"/>
      <w:numFmt w:val="bullet"/>
      <w:lvlText w:val="o"/>
      <w:lvlJc w:val="left"/>
      <w:pPr>
        <w:ind w:left="1440" w:hanging="360"/>
      </w:pPr>
      <w:rPr>
        <w:rFonts w:ascii="Courier New" w:hAnsi="Courier New" w:hint="default"/>
      </w:rPr>
    </w:lvl>
    <w:lvl w:ilvl="2" w:tplc="45985782">
      <w:start w:val="1"/>
      <w:numFmt w:val="bullet"/>
      <w:lvlText w:val=""/>
      <w:lvlJc w:val="left"/>
      <w:pPr>
        <w:ind w:left="2160" w:hanging="360"/>
      </w:pPr>
      <w:rPr>
        <w:rFonts w:ascii="Wingdings" w:hAnsi="Wingdings" w:hint="default"/>
      </w:rPr>
    </w:lvl>
    <w:lvl w:ilvl="3" w:tplc="5A84D1BC">
      <w:start w:val="1"/>
      <w:numFmt w:val="bullet"/>
      <w:lvlText w:val=""/>
      <w:lvlJc w:val="left"/>
      <w:pPr>
        <w:ind w:left="2880" w:hanging="360"/>
      </w:pPr>
      <w:rPr>
        <w:rFonts w:ascii="Symbol" w:hAnsi="Symbol" w:hint="default"/>
      </w:rPr>
    </w:lvl>
    <w:lvl w:ilvl="4" w:tplc="A1C6BE74">
      <w:start w:val="1"/>
      <w:numFmt w:val="bullet"/>
      <w:lvlText w:val="o"/>
      <w:lvlJc w:val="left"/>
      <w:pPr>
        <w:ind w:left="3600" w:hanging="360"/>
      </w:pPr>
      <w:rPr>
        <w:rFonts w:ascii="Courier New" w:hAnsi="Courier New" w:hint="default"/>
      </w:rPr>
    </w:lvl>
    <w:lvl w:ilvl="5" w:tplc="0D38918C">
      <w:start w:val="1"/>
      <w:numFmt w:val="bullet"/>
      <w:lvlText w:val=""/>
      <w:lvlJc w:val="left"/>
      <w:pPr>
        <w:ind w:left="4320" w:hanging="360"/>
      </w:pPr>
      <w:rPr>
        <w:rFonts w:ascii="Wingdings" w:hAnsi="Wingdings" w:hint="default"/>
      </w:rPr>
    </w:lvl>
    <w:lvl w:ilvl="6" w:tplc="309C3242">
      <w:start w:val="1"/>
      <w:numFmt w:val="bullet"/>
      <w:lvlText w:val=""/>
      <w:lvlJc w:val="left"/>
      <w:pPr>
        <w:ind w:left="5040" w:hanging="360"/>
      </w:pPr>
      <w:rPr>
        <w:rFonts w:ascii="Symbol" w:hAnsi="Symbol" w:hint="default"/>
      </w:rPr>
    </w:lvl>
    <w:lvl w:ilvl="7" w:tplc="7A2C6D42">
      <w:start w:val="1"/>
      <w:numFmt w:val="bullet"/>
      <w:lvlText w:val="o"/>
      <w:lvlJc w:val="left"/>
      <w:pPr>
        <w:ind w:left="5760" w:hanging="360"/>
      </w:pPr>
      <w:rPr>
        <w:rFonts w:ascii="Courier New" w:hAnsi="Courier New" w:hint="default"/>
      </w:rPr>
    </w:lvl>
    <w:lvl w:ilvl="8" w:tplc="0FEC24F2">
      <w:start w:val="1"/>
      <w:numFmt w:val="bullet"/>
      <w:lvlText w:val=""/>
      <w:lvlJc w:val="left"/>
      <w:pPr>
        <w:ind w:left="6480" w:hanging="360"/>
      </w:pPr>
      <w:rPr>
        <w:rFonts w:ascii="Wingdings" w:hAnsi="Wingdings" w:hint="default"/>
      </w:rPr>
    </w:lvl>
  </w:abstractNum>
  <w:abstractNum w:abstractNumId="6"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1"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2" w15:restartNumberingAfterBreak="0">
    <w:nsid w:val="3863652D"/>
    <w:multiLevelType w:val="hybridMultilevel"/>
    <w:tmpl w:val="5E3EE0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4"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1"/>
  </w:num>
  <w:num w:numId="4">
    <w:abstractNumId w:val="2"/>
  </w:num>
  <w:num w:numId="5">
    <w:abstractNumId w:val="24"/>
  </w:num>
  <w:num w:numId="6">
    <w:abstractNumId w:val="10"/>
  </w:num>
  <w:num w:numId="7">
    <w:abstractNumId w:val="6"/>
  </w:num>
  <w:num w:numId="8">
    <w:abstractNumId w:val="11"/>
  </w:num>
  <w:num w:numId="9">
    <w:abstractNumId w:val="13"/>
  </w:num>
  <w:num w:numId="10">
    <w:abstractNumId w:val="14"/>
  </w:num>
  <w:num w:numId="11">
    <w:abstractNumId w:val="7"/>
  </w:num>
  <w:num w:numId="12">
    <w:abstractNumId w:val="9"/>
  </w:num>
  <w:num w:numId="13">
    <w:abstractNumId w:val="18"/>
  </w:num>
  <w:num w:numId="14">
    <w:abstractNumId w:val="16"/>
  </w:num>
  <w:num w:numId="15">
    <w:abstractNumId w:val="22"/>
  </w:num>
  <w:num w:numId="16">
    <w:abstractNumId w:val="15"/>
  </w:num>
  <w:num w:numId="17">
    <w:abstractNumId w:val="3"/>
  </w:num>
  <w:num w:numId="18">
    <w:abstractNumId w:val="8"/>
  </w:num>
  <w:num w:numId="19">
    <w:abstractNumId w:val="8"/>
  </w:num>
  <w:num w:numId="20">
    <w:abstractNumId w:val="8"/>
  </w:num>
  <w:num w:numId="21">
    <w:abstractNumId w:val="25"/>
  </w:num>
  <w:num w:numId="22">
    <w:abstractNumId w:val="8"/>
  </w:num>
  <w:num w:numId="23">
    <w:abstractNumId w:val="8"/>
  </w:num>
  <w:num w:numId="24">
    <w:abstractNumId w:val="8"/>
  </w:num>
  <w:num w:numId="25">
    <w:abstractNumId w:val="8"/>
  </w:num>
  <w:num w:numId="26">
    <w:abstractNumId w:val="4"/>
  </w:num>
  <w:num w:numId="27">
    <w:abstractNumId w:val="17"/>
  </w:num>
  <w:num w:numId="28">
    <w:abstractNumId w:val="8"/>
  </w:num>
  <w:num w:numId="29">
    <w:abstractNumId w:val="8"/>
  </w:num>
  <w:num w:numId="30">
    <w:abstractNumId w:val="8"/>
  </w:num>
  <w:num w:numId="31">
    <w:abstractNumId w:val="0"/>
  </w:num>
  <w:num w:numId="32">
    <w:abstractNumId w:val="8"/>
  </w:num>
  <w:num w:numId="33">
    <w:abstractNumId w:val="8"/>
  </w:num>
  <w:num w:numId="34">
    <w:abstractNumId w:val="1"/>
  </w:num>
  <w:num w:numId="35">
    <w:abstractNumId w:val="8"/>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8"/>
  </w:num>
  <w:num w:numId="40">
    <w:abstractNumId w:val="19"/>
  </w:num>
  <w:num w:numId="41">
    <w:abstractNumId w:val="20"/>
  </w:num>
  <w:num w:numId="42">
    <w:abstractNumId w:val="23"/>
  </w:num>
  <w:num w:numId="43">
    <w:abstractNumId w:val="5"/>
  </w:num>
  <w:num w:numId="4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E96"/>
    <w:rsid w:val="0000101B"/>
    <w:rsid w:val="00002872"/>
    <w:rsid w:val="00011492"/>
    <w:rsid w:val="00027BE3"/>
    <w:rsid w:val="0004107C"/>
    <w:rsid w:val="00044FE0"/>
    <w:rsid w:val="000502DF"/>
    <w:rsid w:val="00054150"/>
    <w:rsid w:val="000546DE"/>
    <w:rsid w:val="00055B27"/>
    <w:rsid w:val="00067C68"/>
    <w:rsid w:val="00073878"/>
    <w:rsid w:val="00073DD4"/>
    <w:rsid w:val="000770DC"/>
    <w:rsid w:val="00082903"/>
    <w:rsid w:val="00086C20"/>
    <w:rsid w:val="00097C3E"/>
    <w:rsid w:val="000A7554"/>
    <w:rsid w:val="000C687C"/>
    <w:rsid w:val="000C7DE7"/>
    <w:rsid w:val="000D5C13"/>
    <w:rsid w:val="000E1264"/>
    <w:rsid w:val="000E4D84"/>
    <w:rsid w:val="000F37D3"/>
    <w:rsid w:val="000F7396"/>
    <w:rsid w:val="00106DD8"/>
    <w:rsid w:val="001077CC"/>
    <w:rsid w:val="001527A0"/>
    <w:rsid w:val="001616DC"/>
    <w:rsid w:val="00167C92"/>
    <w:rsid w:val="00174E35"/>
    <w:rsid w:val="00187141"/>
    <w:rsid w:val="001916F7"/>
    <w:rsid w:val="00191AF0"/>
    <w:rsid w:val="00195D05"/>
    <w:rsid w:val="001A3559"/>
    <w:rsid w:val="001A3ADD"/>
    <w:rsid w:val="001C0E2D"/>
    <w:rsid w:val="001C5258"/>
    <w:rsid w:val="001C728C"/>
    <w:rsid w:val="001D05A4"/>
    <w:rsid w:val="001D24A6"/>
    <w:rsid w:val="001E0B61"/>
    <w:rsid w:val="001E50DB"/>
    <w:rsid w:val="001F7BB0"/>
    <w:rsid w:val="00200C24"/>
    <w:rsid w:val="00204E74"/>
    <w:rsid w:val="0021036A"/>
    <w:rsid w:val="0021683D"/>
    <w:rsid w:val="002276B0"/>
    <w:rsid w:val="002404D9"/>
    <w:rsid w:val="00254A07"/>
    <w:rsid w:val="0025733D"/>
    <w:rsid w:val="0026577E"/>
    <w:rsid w:val="002A2793"/>
    <w:rsid w:val="002A5DC8"/>
    <w:rsid w:val="002B6D82"/>
    <w:rsid w:val="002C292B"/>
    <w:rsid w:val="002D0CD5"/>
    <w:rsid w:val="002D2ACC"/>
    <w:rsid w:val="002E699B"/>
    <w:rsid w:val="002F0C3E"/>
    <w:rsid w:val="002F629A"/>
    <w:rsid w:val="003455E5"/>
    <w:rsid w:val="00351A41"/>
    <w:rsid w:val="00366A1A"/>
    <w:rsid w:val="003A4C06"/>
    <w:rsid w:val="003B35C3"/>
    <w:rsid w:val="003B7410"/>
    <w:rsid w:val="003C6EF9"/>
    <w:rsid w:val="003E297F"/>
    <w:rsid w:val="003E3010"/>
    <w:rsid w:val="003E5BF6"/>
    <w:rsid w:val="003F4568"/>
    <w:rsid w:val="00417AB7"/>
    <w:rsid w:val="0042794B"/>
    <w:rsid w:val="00427F7A"/>
    <w:rsid w:val="00442091"/>
    <w:rsid w:val="00442EE2"/>
    <w:rsid w:val="004541EB"/>
    <w:rsid w:val="00454CC8"/>
    <w:rsid w:val="00467E6D"/>
    <w:rsid w:val="00475F55"/>
    <w:rsid w:val="00477D8F"/>
    <w:rsid w:val="00495709"/>
    <w:rsid w:val="004B7BA1"/>
    <w:rsid w:val="004C5913"/>
    <w:rsid w:val="004D55B7"/>
    <w:rsid w:val="00505481"/>
    <w:rsid w:val="00510E97"/>
    <w:rsid w:val="005247E3"/>
    <w:rsid w:val="00532BF5"/>
    <w:rsid w:val="00544684"/>
    <w:rsid w:val="00545530"/>
    <w:rsid w:val="005552B0"/>
    <w:rsid w:val="005579A3"/>
    <w:rsid w:val="00566041"/>
    <w:rsid w:val="0056633A"/>
    <w:rsid w:val="005866F4"/>
    <w:rsid w:val="005945CF"/>
    <w:rsid w:val="005C56DB"/>
    <w:rsid w:val="005C6442"/>
    <w:rsid w:val="005D2853"/>
    <w:rsid w:val="005D5E66"/>
    <w:rsid w:val="005E68F3"/>
    <w:rsid w:val="005F3D64"/>
    <w:rsid w:val="00604312"/>
    <w:rsid w:val="00613B81"/>
    <w:rsid w:val="00631177"/>
    <w:rsid w:val="00633068"/>
    <w:rsid w:val="0063616D"/>
    <w:rsid w:val="00641E07"/>
    <w:rsid w:val="0066335B"/>
    <w:rsid w:val="0068393F"/>
    <w:rsid w:val="0069701E"/>
    <w:rsid w:val="006A494C"/>
    <w:rsid w:val="006B6455"/>
    <w:rsid w:val="006E6DB6"/>
    <w:rsid w:val="006F3B8A"/>
    <w:rsid w:val="006F6A82"/>
    <w:rsid w:val="007057C7"/>
    <w:rsid w:val="00727CF9"/>
    <w:rsid w:val="00740F5F"/>
    <w:rsid w:val="00753481"/>
    <w:rsid w:val="00756B8C"/>
    <w:rsid w:val="007671B4"/>
    <w:rsid w:val="007730DA"/>
    <w:rsid w:val="00774F52"/>
    <w:rsid w:val="00782AD2"/>
    <w:rsid w:val="007839DA"/>
    <w:rsid w:val="00794373"/>
    <w:rsid w:val="007C3C21"/>
    <w:rsid w:val="008303DD"/>
    <w:rsid w:val="0084603B"/>
    <w:rsid w:val="008504FB"/>
    <w:rsid w:val="00856187"/>
    <w:rsid w:val="00857281"/>
    <w:rsid w:val="00857637"/>
    <w:rsid w:val="00866E9B"/>
    <w:rsid w:val="008733B9"/>
    <w:rsid w:val="00884CF3"/>
    <w:rsid w:val="008A67D8"/>
    <w:rsid w:val="008B21DF"/>
    <w:rsid w:val="008B45B2"/>
    <w:rsid w:val="008B7523"/>
    <w:rsid w:val="008D226A"/>
    <w:rsid w:val="008D4630"/>
    <w:rsid w:val="008D6244"/>
    <w:rsid w:val="008E3800"/>
    <w:rsid w:val="008E5CBE"/>
    <w:rsid w:val="008F15A5"/>
    <w:rsid w:val="008F569B"/>
    <w:rsid w:val="00900FED"/>
    <w:rsid w:val="0095040D"/>
    <w:rsid w:val="00971755"/>
    <w:rsid w:val="0098192E"/>
    <w:rsid w:val="00985860"/>
    <w:rsid w:val="009A1131"/>
    <w:rsid w:val="009A4DE0"/>
    <w:rsid w:val="009C6651"/>
    <w:rsid w:val="009D2830"/>
    <w:rsid w:val="009D6646"/>
    <w:rsid w:val="009E22C8"/>
    <w:rsid w:val="009F1675"/>
    <w:rsid w:val="009F20C9"/>
    <w:rsid w:val="00A16550"/>
    <w:rsid w:val="00A1729A"/>
    <w:rsid w:val="00A20AD0"/>
    <w:rsid w:val="00A503FB"/>
    <w:rsid w:val="00A63DF5"/>
    <w:rsid w:val="00A64E5F"/>
    <w:rsid w:val="00A768F9"/>
    <w:rsid w:val="00A834C3"/>
    <w:rsid w:val="00A83DB3"/>
    <w:rsid w:val="00A940E4"/>
    <w:rsid w:val="00A95EC9"/>
    <w:rsid w:val="00A97D86"/>
    <w:rsid w:val="00AA28A8"/>
    <w:rsid w:val="00AB2A53"/>
    <w:rsid w:val="00AC0AC0"/>
    <w:rsid w:val="00AC117C"/>
    <w:rsid w:val="00AC711B"/>
    <w:rsid w:val="00AD692C"/>
    <w:rsid w:val="00AF1F46"/>
    <w:rsid w:val="00B24F95"/>
    <w:rsid w:val="00B30EC0"/>
    <w:rsid w:val="00B337AA"/>
    <w:rsid w:val="00B34733"/>
    <w:rsid w:val="00B37AF9"/>
    <w:rsid w:val="00B52AA9"/>
    <w:rsid w:val="00B61D5B"/>
    <w:rsid w:val="00B8153A"/>
    <w:rsid w:val="00BB3AC8"/>
    <w:rsid w:val="00BB4EE6"/>
    <w:rsid w:val="00BD701A"/>
    <w:rsid w:val="00BE20DB"/>
    <w:rsid w:val="00BE7632"/>
    <w:rsid w:val="00C0107D"/>
    <w:rsid w:val="00C03A6B"/>
    <w:rsid w:val="00C07B4B"/>
    <w:rsid w:val="00C12556"/>
    <w:rsid w:val="00C31673"/>
    <w:rsid w:val="00C52D57"/>
    <w:rsid w:val="00C608D5"/>
    <w:rsid w:val="00C6396B"/>
    <w:rsid w:val="00CA0C04"/>
    <w:rsid w:val="00CB1D16"/>
    <w:rsid w:val="00CC115A"/>
    <w:rsid w:val="00CC6551"/>
    <w:rsid w:val="00CE42C8"/>
    <w:rsid w:val="00CE7C8F"/>
    <w:rsid w:val="00CF3FDC"/>
    <w:rsid w:val="00D06FD5"/>
    <w:rsid w:val="00D103D9"/>
    <w:rsid w:val="00D14547"/>
    <w:rsid w:val="00D15A2D"/>
    <w:rsid w:val="00D2291D"/>
    <w:rsid w:val="00D2679F"/>
    <w:rsid w:val="00D313D8"/>
    <w:rsid w:val="00D34ECA"/>
    <w:rsid w:val="00D414DF"/>
    <w:rsid w:val="00D51831"/>
    <w:rsid w:val="00D53457"/>
    <w:rsid w:val="00D97247"/>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52964"/>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94E36"/>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868FC6"/>
  <w15:docId w15:val="{4BCC2F8D-CA33-44B1-9E16-89E240CEE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A510A"/>
    <w:rsid w:val="000F1833"/>
    <w:rsid w:val="000F6CBF"/>
    <w:rsid w:val="001D623F"/>
    <w:rsid w:val="00212458"/>
    <w:rsid w:val="00213F90"/>
    <w:rsid w:val="00305E40"/>
    <w:rsid w:val="003B5E7B"/>
    <w:rsid w:val="004735C3"/>
    <w:rsid w:val="004B5AC9"/>
    <w:rsid w:val="004C707D"/>
    <w:rsid w:val="005222D6"/>
    <w:rsid w:val="00546FC6"/>
    <w:rsid w:val="005B15C1"/>
    <w:rsid w:val="00603354"/>
    <w:rsid w:val="0060607F"/>
    <w:rsid w:val="00674969"/>
    <w:rsid w:val="006D684E"/>
    <w:rsid w:val="007D54D7"/>
    <w:rsid w:val="00B027E5"/>
    <w:rsid w:val="00B85F1D"/>
    <w:rsid w:val="00BD6835"/>
    <w:rsid w:val="00C16B1A"/>
    <w:rsid w:val="00C2312F"/>
    <w:rsid w:val="00CD6BC2"/>
    <w:rsid w:val="00E708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E8F37819-F19F-4704-8B51-BF6B00F1F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3707</Words>
  <Characters>20393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AUBRY</cp:lastModifiedBy>
  <cp:revision>6</cp:revision>
  <cp:lastPrinted>2019-11-25T17:36:00Z</cp:lastPrinted>
  <dcterms:created xsi:type="dcterms:W3CDTF">2025-12-16T16:51:00Z</dcterms:created>
  <dcterms:modified xsi:type="dcterms:W3CDTF">2025-12-17T10:12:00Z</dcterms:modified>
</cp:coreProperties>
</file>